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02279C94" w:rsidR="00956FEA" w:rsidRDefault="00414096" w:rsidP="00414096">
      <w:pPr>
        <w:jc w:val="center"/>
      </w:pPr>
      <w:r>
        <w:rPr>
          <w:noProof/>
        </w:rPr>
        <w:drawing>
          <wp:inline distT="0" distB="0" distL="0" distR="0" wp14:anchorId="44AE94CF" wp14:editId="3A321684">
            <wp:extent cx="3810000" cy="162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3810000" cy="162560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2676E5D8">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6B711C57" w14:textId="5468EB53" w:rsidR="006739A8" w:rsidRPr="006739A8" w:rsidRDefault="00C33227" w:rsidP="006739A8">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4E2080FD">
                <wp:simplePos x="0" y="0"/>
                <wp:positionH relativeFrom="column">
                  <wp:posOffset>228600</wp:posOffset>
                </wp:positionH>
                <wp:positionV relativeFrom="paragraph">
                  <wp:posOffset>1013460</wp:posOffset>
                </wp:positionV>
                <wp:extent cx="5791200" cy="494690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91200" cy="4946904"/>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B565321" w14:textId="77777777" w:rsidR="00AA4751" w:rsidRDefault="00AA4751" w:rsidP="00AA4751">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8</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4A0238B4" w14:textId="177F768D" w:rsidR="005535CB" w:rsidRPr="00AA4751" w:rsidRDefault="00AA4751" w:rsidP="00AA4751">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Internationalizing Work-Based Learning</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B565321" w14:textId="77777777" w:rsidR="00AA4751" w:rsidRDefault="00AA4751" w:rsidP="00AA4751">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8</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4A0238B4" w14:textId="177F768D" w:rsidR="005535CB" w:rsidRPr="00AA4751" w:rsidRDefault="00AA4751" w:rsidP="00AA4751">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Internationalizing Work-Based Learning</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7258F8" w:rsidRPr="00956FEA">
        <w:rPr>
          <w:noProof/>
        </w:rPr>
        <w:lastRenderedPageBreak/>
        <mc:AlternateContent>
          <mc:Choice Requires="wps">
            <w:drawing>
              <wp:anchor distT="0" distB="0" distL="114300" distR="114300" simplePos="0" relativeHeight="251672576" behindDoc="0" locked="0" layoutInCell="1" allowOverlap="1" wp14:anchorId="08FE6CDC" wp14:editId="1349138C">
                <wp:simplePos x="0" y="0"/>
                <wp:positionH relativeFrom="margin">
                  <wp:align>center</wp:align>
                </wp:positionH>
                <wp:positionV relativeFrom="paragraph">
                  <wp:posOffset>-611505</wp:posOffset>
                </wp:positionV>
                <wp:extent cx="7269480" cy="9351818"/>
                <wp:effectExtent l="19050" t="19050" r="26670" b="20955"/>
                <wp:wrapNone/>
                <wp:docPr id="2" name="Rectangle 2"/>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E1BEE" w14:textId="77777777" w:rsidR="007258F8" w:rsidRDefault="007258F8" w:rsidP="007258F8"/>
                          <w:p w14:paraId="3D2244B1" w14:textId="77777777" w:rsidR="007258F8" w:rsidRDefault="007258F8" w:rsidP="007258F8"/>
                          <w:p w14:paraId="66B212DD" w14:textId="77777777" w:rsidR="007258F8" w:rsidRDefault="007258F8" w:rsidP="007258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E6CDC" id="Rectangle 2" o:spid="_x0000_s1029" style="position:absolute;margin-left:0;margin-top:-48.15pt;width:572.4pt;height:736.3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" filled="f" strokecolor="#2f5496 [2404]" strokeweight="3pt">
                <v:textbox>
                  <w:txbxContent>
                    <w:p w14:paraId="2B1E1BEE" w14:textId="77777777" w:rsidR="007258F8" w:rsidRDefault="007258F8" w:rsidP="007258F8"/>
                    <w:p w14:paraId="3D2244B1" w14:textId="77777777" w:rsidR="007258F8" w:rsidRDefault="007258F8" w:rsidP="007258F8"/>
                    <w:p w14:paraId="66B212DD" w14:textId="77777777" w:rsidR="007258F8" w:rsidRDefault="007258F8" w:rsidP="007258F8"/>
                  </w:txbxContent>
                </v:textbox>
                <w10:wrap anchorx="margin"/>
              </v:rect>
            </w:pict>
          </mc:Fallback>
        </mc:AlternateContent>
      </w:r>
      <w:r w:rsidR="00F526D2" w:rsidRPr="006739A8">
        <w:rPr>
          <w:b/>
          <w:bCs/>
        </w:rPr>
        <w:softHyphen/>
      </w:r>
      <w:r w:rsidR="00F526D2" w:rsidRPr="006739A8">
        <w:rPr>
          <w:b/>
          <w:bCs/>
        </w:rPr>
        <w:softHyphen/>
      </w:r>
      <w:r w:rsidR="00F526D2" w:rsidRPr="006739A8">
        <w:rPr>
          <w:b/>
          <w:bCs/>
        </w:rPr>
        <w:softHyphen/>
      </w:r>
      <w:r w:rsidR="00F526D2" w:rsidRPr="006739A8">
        <w:rPr>
          <w:b/>
          <w:bCs/>
        </w:rPr>
        <w:softHyphen/>
      </w:r>
      <w:r w:rsidR="006739A8" w:rsidRPr="006739A8">
        <w:rPr>
          <w:b/>
          <w:bCs/>
        </w:rPr>
        <w:t>Module 8: Internationalizing Work-Based Learning</w:t>
      </w:r>
    </w:p>
    <w:p w14:paraId="557BB69D" w14:textId="24A5105A" w:rsidR="006739A8" w:rsidRDefault="006739A8" w:rsidP="006739A8">
      <w:pPr>
        <w:pStyle w:val="NormalWeb"/>
        <w:shd w:val="clear" w:color="auto" w:fill="FEFEFE"/>
        <w:rPr>
          <w:rFonts w:ascii="acumin-pro" w:hAnsi="acumin-pro"/>
          <w:color w:val="000000"/>
        </w:rPr>
      </w:pPr>
      <w:r>
        <w:rPr>
          <w:rFonts w:ascii="acumin-pro" w:hAnsi="acumin-pro"/>
          <w:color w:val="000000"/>
        </w:rPr>
        <w:t>International skills and expertise will be critical to assist students in not only getting jobs, but in being able to move up the career ladder to mid- and top-tier jobs - even if they do not wish to pursue an explicitly international career pathway. Engaging work-based learning (WBL) experiences that allow students to take part in the diverse workforce and to see the interdependence of the global marketplace is the best way to develop these skills. This module will provide an overview of how interconnected we are with the global economy, successful learning components and strategies to internationalize work-based learning, and how to align the learning goals of CTE programs and international workforce needs.</w:t>
      </w:r>
    </w:p>
    <w:p w14:paraId="061985D9" w14:textId="77777777" w:rsidR="006739A8" w:rsidRPr="006739A8" w:rsidRDefault="006739A8" w:rsidP="006739A8">
      <w:pPr>
        <w:pStyle w:val="NormalWeb"/>
        <w:shd w:val="clear" w:color="auto" w:fill="FEFEFE"/>
        <w:rPr>
          <w:rFonts w:ascii="acumin-pro" w:hAnsi="acumin-pro"/>
          <w:b/>
          <w:bCs/>
          <w:color w:val="000000"/>
        </w:rPr>
      </w:pPr>
      <w:r w:rsidRPr="006739A8">
        <w:rPr>
          <w:rFonts w:ascii="acumin-pro" w:hAnsi="acumin-pro"/>
          <w:b/>
          <w:bCs/>
          <w:color w:val="000000"/>
        </w:rPr>
        <w:t>Module Objectives:</w:t>
      </w:r>
    </w:p>
    <w:p w14:paraId="1C307D06" w14:textId="77777777" w:rsidR="006739A8" w:rsidRDefault="006739A8" w:rsidP="006739A8">
      <w:pPr>
        <w:numPr>
          <w:ilvl w:val="0"/>
          <w:numId w:val="10"/>
        </w:numPr>
        <w:shd w:val="clear" w:color="auto" w:fill="FEFEFE"/>
        <w:rPr>
          <w:rFonts w:ascii="acumin-pro" w:hAnsi="acumin-pro"/>
          <w:color w:val="000000"/>
        </w:rPr>
      </w:pPr>
      <w:r>
        <w:rPr>
          <w:rFonts w:ascii="acumin-pro" w:hAnsi="acumin-pro"/>
          <w:color w:val="000000"/>
        </w:rPr>
        <w:t>Understand how work-based learning can teach skills for global competence.</w:t>
      </w:r>
    </w:p>
    <w:p w14:paraId="0B390296" w14:textId="77777777" w:rsidR="006739A8" w:rsidRDefault="006739A8" w:rsidP="006739A8">
      <w:pPr>
        <w:numPr>
          <w:ilvl w:val="0"/>
          <w:numId w:val="10"/>
        </w:numPr>
        <w:shd w:val="clear" w:color="auto" w:fill="FEFEFE"/>
        <w:rPr>
          <w:rFonts w:ascii="acumin-pro" w:hAnsi="acumin-pro"/>
          <w:color w:val="000000"/>
        </w:rPr>
      </w:pPr>
      <w:r>
        <w:rPr>
          <w:rFonts w:ascii="acumin-pro" w:hAnsi="acumin-pro"/>
          <w:color w:val="000000"/>
        </w:rPr>
        <w:t>Analyze the benefits of equitable work-based learning experiences with a global focus.</w:t>
      </w:r>
    </w:p>
    <w:p w14:paraId="2524D8D6" w14:textId="6D593907" w:rsidR="006739A8" w:rsidRDefault="006739A8" w:rsidP="006739A8">
      <w:pPr>
        <w:numPr>
          <w:ilvl w:val="0"/>
          <w:numId w:val="10"/>
        </w:numPr>
        <w:shd w:val="clear" w:color="auto" w:fill="FEFEFE"/>
        <w:rPr>
          <w:rFonts w:ascii="acumin-pro" w:hAnsi="acumin-pro"/>
          <w:color w:val="000000"/>
        </w:rPr>
      </w:pPr>
      <w:r>
        <w:rPr>
          <w:rFonts w:ascii="acumin-pro" w:hAnsi="acumin-pro"/>
          <w:color w:val="000000"/>
        </w:rPr>
        <w:t>Align CTE learning goals with workplace learning experiences to build global competence.</w:t>
      </w:r>
    </w:p>
    <w:p w14:paraId="12EDB277" w14:textId="43E42884" w:rsidR="006739A8" w:rsidRDefault="006739A8" w:rsidP="006739A8">
      <w:pPr>
        <w:shd w:val="clear" w:color="auto" w:fill="FEFEFE"/>
        <w:rPr>
          <w:rFonts w:ascii="acumin-pro" w:hAnsi="acumin-pro"/>
          <w:color w:val="000000"/>
        </w:rPr>
      </w:pPr>
    </w:p>
    <w:p w14:paraId="3CC0D49B" w14:textId="77777777" w:rsidR="006739A8" w:rsidRPr="00012EFA" w:rsidRDefault="006739A8" w:rsidP="006739A8">
      <w:pPr>
        <w:shd w:val="clear" w:color="auto" w:fill="FEFEFE"/>
        <w:rPr>
          <w:rFonts w:ascii="acumin-pro" w:hAnsi="acumin-pro"/>
          <w:b/>
          <w:bCs/>
          <w:color w:val="000000"/>
        </w:rPr>
      </w:pPr>
      <w:r w:rsidRPr="00012EFA">
        <w:rPr>
          <w:rFonts w:ascii="acumin-pro" w:hAnsi="acumin-pro"/>
          <w:b/>
          <w:bCs/>
          <w:color w:val="000000"/>
        </w:rPr>
        <w:t>Audience:</w:t>
      </w:r>
    </w:p>
    <w:p w14:paraId="4CA91440" w14:textId="02359964" w:rsidR="006739A8" w:rsidRDefault="006739A8" w:rsidP="006739A8">
      <w:pPr>
        <w:rPr>
          <w:rFonts w:ascii="acumin-pro" w:hAnsi="acumin-pro"/>
          <w:color w:val="000000"/>
        </w:rPr>
      </w:pPr>
      <w:r>
        <w:rPr>
          <w:rFonts w:ascii="acumin-pro" w:hAnsi="acumin-pro"/>
          <w:color w:val="000000"/>
        </w:rPr>
        <w:t xml:space="preserve">This module is geared towards community college administrators, staff, or faculty who work with business </w:t>
      </w:r>
      <w:r w:rsidR="00414096">
        <w:rPr>
          <w:rFonts w:ascii="acumin-pro" w:hAnsi="acumin-pro"/>
          <w:color w:val="000000"/>
        </w:rPr>
        <w:t>and</w:t>
      </w:r>
      <w:r>
        <w:rPr>
          <w:rFonts w:ascii="acumin-pro" w:hAnsi="acumin-pro"/>
          <w:color w:val="000000"/>
        </w:rPr>
        <w:t xml:space="preserve"> industry partners to learn how to engage partners and internationalize work-based learning experiences. </w:t>
      </w:r>
    </w:p>
    <w:p w14:paraId="0D7AC234" w14:textId="77777777" w:rsidR="006739A8" w:rsidRDefault="006739A8" w:rsidP="006739A8">
      <w:pPr>
        <w:rPr>
          <w:rFonts w:ascii="acumin-pro" w:hAnsi="acumin-pro"/>
          <w:color w:val="000000"/>
        </w:rPr>
      </w:pPr>
    </w:p>
    <w:p w14:paraId="39790E65" w14:textId="77777777" w:rsidR="006739A8" w:rsidRPr="002E0A74" w:rsidRDefault="006739A8" w:rsidP="006739A8">
      <w:pPr>
        <w:rPr>
          <w:rFonts w:ascii="acumin-pro" w:hAnsi="acumin-pro"/>
          <w:color w:val="000000"/>
        </w:rPr>
      </w:pPr>
      <w:r w:rsidRPr="00012EFA">
        <w:rPr>
          <w:rFonts w:ascii="acumin-pro" w:hAnsi="acumin-pro"/>
          <w:b/>
          <w:bCs/>
          <w:color w:val="000000"/>
        </w:rPr>
        <w:t>Module Outline:</w:t>
      </w:r>
    </w:p>
    <w:p w14:paraId="742A19CC" w14:textId="45590374" w:rsidR="006739A8" w:rsidRDefault="006739A8" w:rsidP="006739A8">
      <w:pPr>
        <w:pStyle w:val="ListParagraph"/>
        <w:numPr>
          <w:ilvl w:val="0"/>
          <w:numId w:val="11"/>
        </w:numPr>
        <w:spacing w:after="160" w:line="259" w:lineRule="auto"/>
        <w:rPr>
          <w:rFonts w:ascii="acumin-pro" w:hAnsi="acumin-pro"/>
          <w:color w:val="000000"/>
        </w:rPr>
      </w:pPr>
      <w:r>
        <w:rPr>
          <w:rFonts w:ascii="acumin-pro" w:hAnsi="acumin-pro"/>
          <w:color w:val="000000"/>
        </w:rPr>
        <w:t>Overview of work-based learning opportunities</w:t>
      </w:r>
    </w:p>
    <w:p w14:paraId="02E6632B" w14:textId="57D0B4FC" w:rsidR="006739A8" w:rsidRDefault="006739A8" w:rsidP="006739A8">
      <w:pPr>
        <w:pStyle w:val="ListParagraph"/>
        <w:numPr>
          <w:ilvl w:val="0"/>
          <w:numId w:val="11"/>
        </w:numPr>
        <w:spacing w:after="160" w:line="259" w:lineRule="auto"/>
        <w:rPr>
          <w:rFonts w:ascii="acumin-pro" w:hAnsi="acumin-pro"/>
          <w:color w:val="000000"/>
        </w:rPr>
      </w:pPr>
      <w:r>
        <w:rPr>
          <w:rFonts w:ascii="acumin-pro" w:hAnsi="acumin-pro"/>
          <w:color w:val="000000"/>
        </w:rPr>
        <w:t>Review of Global Social Justice Education Framework related to WBL opportunities</w:t>
      </w:r>
    </w:p>
    <w:p w14:paraId="7CBC1F81" w14:textId="715DE0A8" w:rsidR="006739A8" w:rsidRDefault="006739A8" w:rsidP="006739A8">
      <w:pPr>
        <w:pStyle w:val="ListParagraph"/>
        <w:numPr>
          <w:ilvl w:val="0"/>
          <w:numId w:val="11"/>
        </w:numPr>
        <w:spacing w:after="160" w:line="259" w:lineRule="auto"/>
        <w:rPr>
          <w:rFonts w:ascii="acumin-pro" w:hAnsi="acumin-pro"/>
          <w:color w:val="000000"/>
        </w:rPr>
      </w:pPr>
      <w:r>
        <w:rPr>
          <w:rFonts w:ascii="acumin-pro" w:hAnsi="acumin-pro"/>
          <w:color w:val="000000"/>
        </w:rPr>
        <w:t>Internationalized WBL Example: California International Trade Center</w:t>
      </w:r>
    </w:p>
    <w:p w14:paraId="398091F4" w14:textId="7DEB8B77" w:rsidR="006739A8" w:rsidRDefault="007258F8" w:rsidP="006739A8">
      <w:pPr>
        <w:pStyle w:val="ListParagraph"/>
        <w:numPr>
          <w:ilvl w:val="0"/>
          <w:numId w:val="11"/>
        </w:numPr>
        <w:spacing w:after="160" w:line="259" w:lineRule="auto"/>
        <w:rPr>
          <w:rFonts w:ascii="acumin-pro" w:hAnsi="acumin-pro"/>
          <w:color w:val="000000"/>
        </w:rPr>
      </w:pPr>
      <w:r>
        <w:rPr>
          <w:rFonts w:ascii="acumin-pro" w:hAnsi="acumin-pro"/>
          <w:color w:val="000000"/>
        </w:rPr>
        <w:t xml:space="preserve">Review of </w:t>
      </w:r>
      <w:r w:rsidR="006739A8">
        <w:rPr>
          <w:rFonts w:ascii="acumin-pro" w:hAnsi="acumin-pro"/>
          <w:color w:val="000000"/>
        </w:rPr>
        <w:t>Global Industry Analysis Questions</w:t>
      </w:r>
    </w:p>
    <w:p w14:paraId="48D57F44" w14:textId="1B2E0C2D" w:rsidR="006739A8" w:rsidRDefault="007258F8" w:rsidP="006739A8">
      <w:pPr>
        <w:pStyle w:val="ListParagraph"/>
        <w:numPr>
          <w:ilvl w:val="0"/>
          <w:numId w:val="11"/>
        </w:numPr>
        <w:spacing w:after="160" w:line="259" w:lineRule="auto"/>
        <w:rPr>
          <w:rFonts w:ascii="acumin-pro" w:hAnsi="acumin-pro"/>
          <w:color w:val="000000"/>
        </w:rPr>
      </w:pPr>
      <w:r>
        <w:rPr>
          <w:rFonts w:ascii="acumin-pro" w:hAnsi="acumin-pro"/>
          <w:color w:val="000000"/>
        </w:rPr>
        <w:t>U.S. Department of Education WBL Framework: A toolkit for WBL programs</w:t>
      </w:r>
    </w:p>
    <w:p w14:paraId="7D496255" w14:textId="3026D9E6" w:rsidR="006739A8" w:rsidRDefault="007258F8" w:rsidP="006739A8">
      <w:pPr>
        <w:pStyle w:val="ListParagraph"/>
        <w:numPr>
          <w:ilvl w:val="0"/>
          <w:numId w:val="11"/>
        </w:numPr>
        <w:spacing w:after="160" w:line="259" w:lineRule="auto"/>
        <w:rPr>
          <w:rFonts w:ascii="acumin-pro" w:hAnsi="acumin-pro"/>
          <w:color w:val="000000"/>
        </w:rPr>
      </w:pPr>
      <w:r>
        <w:rPr>
          <w:rFonts w:ascii="acumin-pro" w:hAnsi="acumin-pro"/>
          <w:color w:val="000000"/>
        </w:rPr>
        <w:t>Faculty Reflection of WBL Internationalization Ideas (included in this packet for notetaking)</w:t>
      </w:r>
    </w:p>
    <w:p w14:paraId="5D822186" w14:textId="4820FBC6" w:rsidR="007258F8" w:rsidRDefault="007258F8" w:rsidP="006739A8">
      <w:pPr>
        <w:pStyle w:val="ListParagraph"/>
        <w:numPr>
          <w:ilvl w:val="0"/>
          <w:numId w:val="11"/>
        </w:numPr>
        <w:spacing w:after="160" w:line="259" w:lineRule="auto"/>
        <w:rPr>
          <w:rFonts w:ascii="acumin-pro" w:hAnsi="acumin-pro"/>
          <w:color w:val="000000"/>
        </w:rPr>
      </w:pPr>
      <w:r>
        <w:rPr>
          <w:rFonts w:ascii="acumin-pro" w:hAnsi="acumin-pro"/>
          <w:color w:val="000000"/>
        </w:rPr>
        <w:t>Internationalized WBL Example: Tulsa Community College</w:t>
      </w:r>
    </w:p>
    <w:p w14:paraId="22F32D04" w14:textId="77777777" w:rsidR="006739A8" w:rsidRDefault="006739A8" w:rsidP="006739A8">
      <w:pPr>
        <w:shd w:val="clear" w:color="auto" w:fill="FEFEFE"/>
        <w:rPr>
          <w:rFonts w:ascii="acumin-pro" w:hAnsi="acumin-pro"/>
          <w:color w:val="000000"/>
        </w:rPr>
      </w:pPr>
    </w:p>
    <w:p w14:paraId="6EE0F20B" w14:textId="119F40E4" w:rsidR="006739A8" w:rsidRDefault="006739A8"/>
    <w:p w14:paraId="6C9006A5" w14:textId="78088277" w:rsidR="006739A8" w:rsidRDefault="006739A8">
      <w:r>
        <w:br w:type="page"/>
      </w:r>
    </w:p>
    <w:p w14:paraId="7BEC53C2" w14:textId="027B4454" w:rsidR="007258F8" w:rsidRPr="007258F8" w:rsidRDefault="007258F8">
      <w:pPr>
        <w:rPr>
          <w:b/>
          <w:bCs/>
        </w:rPr>
      </w:pPr>
      <w:r w:rsidRPr="007258F8">
        <w:rPr>
          <w:b/>
          <w:bCs/>
        </w:rPr>
        <w:lastRenderedPageBreak/>
        <w:t>Work-Based Learning Framework</w:t>
      </w:r>
    </w:p>
    <w:p w14:paraId="378101D5" w14:textId="572EEC4C" w:rsidR="007258F8" w:rsidRDefault="007258F8"/>
    <w:p w14:paraId="057E97B1" w14:textId="5FB7FFE8" w:rsidR="007258F8" w:rsidRDefault="007258F8">
      <w:r>
        <w:rPr>
          <w:noProof/>
        </w:rPr>
        <mc:AlternateContent>
          <mc:Choice Requires="wps">
            <w:drawing>
              <wp:anchor distT="45720" distB="45720" distL="114300" distR="114300" simplePos="0" relativeHeight="251670528" behindDoc="0" locked="0" layoutInCell="1" allowOverlap="1" wp14:anchorId="35988F92" wp14:editId="05F3D3D4">
                <wp:simplePos x="0" y="0"/>
                <wp:positionH relativeFrom="margin">
                  <wp:align>right</wp:align>
                </wp:positionH>
                <wp:positionV relativeFrom="paragraph">
                  <wp:posOffset>358140</wp:posOffset>
                </wp:positionV>
                <wp:extent cx="5920740" cy="74752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475220"/>
                        </a:xfrm>
                        <a:prstGeom prst="rect">
                          <a:avLst/>
                        </a:prstGeom>
                        <a:solidFill>
                          <a:srgbClr val="FFFFFF"/>
                        </a:solidFill>
                        <a:ln w="9525">
                          <a:solidFill>
                            <a:srgbClr val="000000"/>
                          </a:solidFill>
                          <a:miter lim="800000"/>
                          <a:headEnd/>
                          <a:tailEnd/>
                        </a:ln>
                      </wps:spPr>
                      <wps:txbx>
                        <w:txbxContent>
                          <w:p w14:paraId="19D4F5A3" w14:textId="7048547F" w:rsidR="007258F8" w:rsidRDefault="00725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8F92" id="Text Box 2" o:spid="_x0000_s1031" type="#_x0000_t202" style="position:absolute;margin-left:415pt;margin-top:28.2pt;width:466.2pt;height:588.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">
                <v:textbox>
                  <w:txbxContent>
                    <w:p w14:paraId="19D4F5A3" w14:textId="7048547F" w:rsidR="007258F8" w:rsidRDefault="007258F8"/>
                  </w:txbxContent>
                </v:textbox>
                <w10:wrap type="square" anchorx="margin"/>
              </v:shape>
            </w:pict>
          </mc:Fallback>
        </mc:AlternateContent>
      </w:r>
      <w:r>
        <w:t>My Internationalization Ideas</w:t>
      </w:r>
    </w:p>
    <w:p w14:paraId="0B3E5A90" w14:textId="5C477B8A" w:rsidR="00AA4751" w:rsidRPr="00414096" w:rsidRDefault="00AA4751" w:rsidP="00414096">
      <w:pPr>
        <w:rPr>
          <w:rFonts w:asciiTheme="minorHAnsi" w:hAnsiTheme="minorHAnsi" w:cstheme="minorHAnsi"/>
          <w:color w:val="000000"/>
          <w:sz w:val="32"/>
          <w:szCs w:val="32"/>
        </w:rPr>
      </w:pPr>
    </w:p>
    <w:p w14:paraId="21436C0B" w14:textId="0B16F840" w:rsidR="00AA4751" w:rsidRPr="00AD32A9" w:rsidRDefault="00AA4751" w:rsidP="00AA4751">
      <w:pPr>
        <w:ind w:hanging="360"/>
      </w:pPr>
      <w:r>
        <w:rPr>
          <w:rFonts w:ascii="NewsGoth BT" w:hAnsi="NewsGoth BT" w:cs="NewsGoth BT"/>
          <w:color w:val="000000"/>
          <w:sz w:val="28"/>
        </w:rPr>
        <w:t xml:space="preserve">Your </w:t>
      </w:r>
      <w:r w:rsidRPr="009E4A5F">
        <w:rPr>
          <w:rFonts w:ascii="NewsGoth BT" w:hAnsi="NewsGoth BT" w:cs="NewsGoth BT"/>
          <w:color w:val="000000"/>
          <w:sz w:val="28"/>
        </w:rPr>
        <w:t>next steps are</w:t>
      </w:r>
      <w:r w:rsidRPr="00AA244B">
        <w:rPr>
          <w:rFonts w:ascii="NewsGoth BT" w:hAnsi="NewsGoth BT" w:cs="NewsGoth BT"/>
          <w:color w:val="000000"/>
          <w:sz w:val="28"/>
        </w:rPr>
        <w:t>:</w:t>
      </w:r>
    </w:p>
    <w:p w14:paraId="32949D91" w14:textId="77777777" w:rsidR="00AA4751" w:rsidRPr="00AA244B" w:rsidRDefault="00AA4751" w:rsidP="00AA4751">
      <w:pPr>
        <w:autoSpaceDE w:val="0"/>
        <w:autoSpaceDN w:val="0"/>
        <w:adjustRightInd w:val="0"/>
        <w:rPr>
          <w:rFonts w:ascii="NewsGoth BT" w:hAnsi="NewsGoth BT" w:cs="NewsGoth BT"/>
          <w:color w:val="000000"/>
          <w:sz w:val="28"/>
        </w:rPr>
      </w:pPr>
    </w:p>
    <w:p w14:paraId="0A6D86AA" w14:textId="77777777" w:rsidR="00AA4751" w:rsidRDefault="00AA4751" w:rsidP="00AA4751">
      <w:pPr>
        <w:pStyle w:val="ListParagraph"/>
        <w:numPr>
          <w:ilvl w:val="0"/>
          <w:numId w:val="5"/>
        </w:numPr>
        <w:ind w:left="0"/>
        <w:rPr>
          <w:rFonts w:ascii="NewsGoth BT" w:hAnsi="NewsGoth BT" w:cs="NewsGoth BT"/>
          <w:color w:val="000000"/>
          <w:sz w:val="28"/>
        </w:rPr>
      </w:pPr>
      <w:r>
        <w:rPr>
          <w:rFonts w:ascii="NewsGoth BT" w:hAnsi="NewsGoth BT" w:cs="NewsGoth BT"/>
          <w:color w:val="000000"/>
          <w:sz w:val="28"/>
        </w:rPr>
        <w:t xml:space="preserve">Talk with your industry partners, workforce development office, or international student services office to explore existing global opportunities. </w:t>
      </w:r>
    </w:p>
    <w:p w14:paraId="26D3EA12" w14:textId="77777777" w:rsidR="00AA4751" w:rsidRDefault="00AA4751" w:rsidP="00AA4751">
      <w:pPr>
        <w:pStyle w:val="ListParagraph"/>
        <w:ind w:left="0"/>
        <w:rPr>
          <w:rFonts w:ascii="NewsGoth BT" w:hAnsi="NewsGoth BT" w:cs="NewsGoth BT"/>
          <w:color w:val="000000"/>
          <w:sz w:val="28"/>
        </w:rPr>
      </w:pPr>
    </w:p>
    <w:p w14:paraId="2AC784DD" w14:textId="48F51B8F" w:rsidR="00AA4751" w:rsidRDefault="00AA4751" w:rsidP="00AA4751">
      <w:pPr>
        <w:pStyle w:val="ListParagraph"/>
        <w:numPr>
          <w:ilvl w:val="0"/>
          <w:numId w:val="5"/>
        </w:numPr>
        <w:tabs>
          <w:tab w:val="left" w:pos="0"/>
        </w:tabs>
        <w:ind w:left="0"/>
        <w:rPr>
          <w:rFonts w:ascii="NewsGoth BT" w:hAnsi="NewsGoth BT" w:cs="NewsGoth BT"/>
          <w:color w:val="000000"/>
          <w:sz w:val="28"/>
        </w:rPr>
      </w:pPr>
      <w:r>
        <w:rPr>
          <w:rFonts w:ascii="NewsGoth BT" w:hAnsi="NewsGoth BT" w:cs="NewsGoth BT"/>
          <w:color w:val="000000"/>
          <w:sz w:val="28"/>
        </w:rPr>
        <w:t xml:space="preserve">Review how all students in your program have equal access, a representative curriculum, and equitable opportunities to participate in work-based learning experiences. Consult </w:t>
      </w:r>
      <w:r w:rsidR="00414096">
        <w:rPr>
          <w:rFonts w:ascii="NewsGoth BT" w:hAnsi="NewsGoth BT" w:cs="NewsGoth BT"/>
          <w:color w:val="000000"/>
          <w:sz w:val="28"/>
        </w:rPr>
        <w:t>Digital Promise</w:t>
      </w:r>
      <w:r>
        <w:rPr>
          <w:rFonts w:ascii="NewsGoth BT" w:hAnsi="NewsGoth BT" w:cs="NewsGoth BT"/>
          <w:color w:val="000000"/>
          <w:sz w:val="28"/>
        </w:rPr>
        <w:t xml:space="preserve">’s </w:t>
      </w:r>
      <w:hyperlink r:id="rId9" w:history="1">
        <w:r w:rsidRPr="005A7227">
          <w:rPr>
            <w:rStyle w:val="Hyperlink"/>
            <w:rFonts w:ascii="NewsGoth BT" w:hAnsi="NewsGoth BT" w:cs="NewsGoth BT"/>
            <w:sz w:val="28"/>
          </w:rPr>
          <w:t>Global Social Justice</w:t>
        </w:r>
        <w:r w:rsidRPr="005A7227">
          <w:rPr>
            <w:rStyle w:val="Hyperlink"/>
            <w:rFonts w:ascii="NewsGoth BT" w:hAnsi="NewsGoth BT" w:cs="NewsGoth BT"/>
            <w:sz w:val="28"/>
          </w:rPr>
          <w:t xml:space="preserve"> </w:t>
        </w:r>
        <w:r w:rsidRPr="005A7227">
          <w:rPr>
            <w:rStyle w:val="Hyperlink"/>
            <w:rFonts w:ascii="NewsGoth BT" w:hAnsi="NewsGoth BT" w:cs="NewsGoth BT"/>
            <w:sz w:val="28"/>
          </w:rPr>
          <w:t>Education Framework</w:t>
        </w:r>
      </w:hyperlink>
      <w:r>
        <w:rPr>
          <w:rFonts w:ascii="NewsGoth BT" w:hAnsi="NewsGoth BT" w:cs="NewsGoth BT"/>
          <w:color w:val="000000"/>
          <w:sz w:val="28"/>
        </w:rPr>
        <w:t xml:space="preserve"> in your review.</w:t>
      </w:r>
    </w:p>
    <w:p w14:paraId="4340E156" w14:textId="77777777" w:rsidR="00AA4751" w:rsidRDefault="00AA4751" w:rsidP="00AA4751">
      <w:pPr>
        <w:pStyle w:val="ListParagraph"/>
        <w:tabs>
          <w:tab w:val="left" w:pos="0"/>
        </w:tabs>
        <w:ind w:left="0"/>
        <w:rPr>
          <w:rFonts w:ascii="NewsGoth BT" w:hAnsi="NewsGoth BT" w:cs="NewsGoth BT"/>
          <w:color w:val="000000"/>
          <w:sz w:val="28"/>
        </w:rPr>
      </w:pPr>
    </w:p>
    <w:p w14:paraId="2B116BEC" w14:textId="67292F27" w:rsidR="00AA4751" w:rsidRDefault="00AA4751" w:rsidP="00AA4751">
      <w:pPr>
        <w:pStyle w:val="ListParagraph"/>
        <w:numPr>
          <w:ilvl w:val="0"/>
          <w:numId w:val="5"/>
        </w:numPr>
        <w:tabs>
          <w:tab w:val="left" w:pos="0"/>
        </w:tabs>
        <w:ind w:left="0"/>
        <w:rPr>
          <w:rFonts w:ascii="NewsGoth BT" w:hAnsi="NewsGoth BT" w:cs="NewsGoth BT"/>
          <w:color w:val="000000"/>
          <w:sz w:val="28"/>
        </w:rPr>
      </w:pPr>
      <w:r>
        <w:rPr>
          <w:rFonts w:ascii="NewsGoth BT" w:hAnsi="NewsGoth BT" w:cs="NewsGoth BT"/>
          <w:color w:val="000000"/>
          <w:sz w:val="28"/>
        </w:rPr>
        <w:t xml:space="preserve">Review the </w:t>
      </w:r>
      <w:hyperlink r:id="rId10" w:history="1">
        <w:r w:rsidRPr="005A7227">
          <w:rPr>
            <w:rStyle w:val="Hyperlink"/>
            <w:rFonts w:ascii="NewsGoth BT" w:hAnsi="NewsGoth BT" w:cs="NewsGoth BT"/>
            <w:sz w:val="28"/>
          </w:rPr>
          <w:t>Global Industry Analysis Assignment</w:t>
        </w:r>
      </w:hyperlink>
      <w:r>
        <w:rPr>
          <w:rFonts w:ascii="NewsGoth BT" w:hAnsi="NewsGoth BT" w:cs="NewsGoth BT"/>
          <w:color w:val="000000"/>
          <w:sz w:val="28"/>
        </w:rPr>
        <w:t>. Consider how you might use this assignment in your program.</w:t>
      </w:r>
    </w:p>
    <w:p w14:paraId="566601BE" w14:textId="77777777" w:rsidR="00AA4751" w:rsidRDefault="00AA4751" w:rsidP="00AA4751">
      <w:pPr>
        <w:pStyle w:val="ListParagraph"/>
        <w:tabs>
          <w:tab w:val="left" w:pos="0"/>
        </w:tabs>
        <w:ind w:left="0"/>
        <w:rPr>
          <w:rFonts w:ascii="NewsGoth BT" w:hAnsi="NewsGoth BT" w:cs="NewsGoth BT"/>
          <w:color w:val="000000"/>
          <w:sz w:val="28"/>
        </w:rPr>
      </w:pPr>
    </w:p>
    <w:p w14:paraId="225DBB07" w14:textId="77777777" w:rsidR="00AA4751" w:rsidRDefault="00AA4751" w:rsidP="00AA4751">
      <w:pPr>
        <w:pStyle w:val="ListParagraph"/>
        <w:numPr>
          <w:ilvl w:val="0"/>
          <w:numId w:val="5"/>
        </w:numPr>
        <w:tabs>
          <w:tab w:val="left" w:pos="0"/>
        </w:tabs>
        <w:ind w:left="0"/>
        <w:rPr>
          <w:rFonts w:ascii="NewsGoth BT" w:hAnsi="NewsGoth BT" w:cs="NewsGoth BT"/>
          <w:color w:val="000000"/>
          <w:sz w:val="28"/>
        </w:rPr>
      </w:pPr>
      <w:r>
        <w:rPr>
          <w:rFonts w:ascii="NewsGoth BT" w:hAnsi="NewsGoth BT" w:cs="NewsGoth BT"/>
          <w:color w:val="000000"/>
          <w:sz w:val="28"/>
        </w:rPr>
        <w:t xml:space="preserve">Review the U.S. Department of Education </w:t>
      </w:r>
      <w:hyperlink r:id="rId11" w:history="1">
        <w:r w:rsidRPr="005A7227">
          <w:rPr>
            <w:rStyle w:val="Hyperlink"/>
            <w:rFonts w:ascii="NewsGoth BT" w:hAnsi="NewsGoth BT" w:cs="NewsGoth BT"/>
            <w:sz w:val="28"/>
          </w:rPr>
          <w:t>Work-Based Learn</w:t>
        </w:r>
        <w:r w:rsidRPr="005A7227">
          <w:rPr>
            <w:rStyle w:val="Hyperlink"/>
            <w:rFonts w:ascii="NewsGoth BT" w:hAnsi="NewsGoth BT" w:cs="NewsGoth BT"/>
            <w:sz w:val="28"/>
          </w:rPr>
          <w:t>i</w:t>
        </w:r>
        <w:r w:rsidRPr="005A7227">
          <w:rPr>
            <w:rStyle w:val="Hyperlink"/>
            <w:rFonts w:ascii="NewsGoth BT" w:hAnsi="NewsGoth BT" w:cs="NewsGoth BT"/>
            <w:sz w:val="28"/>
          </w:rPr>
          <w:t>ng model</w:t>
        </w:r>
      </w:hyperlink>
      <w:r>
        <w:rPr>
          <w:rFonts w:ascii="NewsGoth BT" w:hAnsi="NewsGoth BT" w:cs="NewsGoth BT"/>
          <w:color w:val="000000"/>
          <w:sz w:val="28"/>
        </w:rPr>
        <w:t xml:space="preserve"> and then discuss your internationalization ideas with colleagues. In what ways can you use or adapt those ideas for your program?</w:t>
      </w:r>
    </w:p>
    <w:p w14:paraId="00DCCFB1" w14:textId="77777777" w:rsidR="00AA4751" w:rsidRDefault="00AA4751" w:rsidP="00AA4751">
      <w:pPr>
        <w:pStyle w:val="ListParagraph"/>
        <w:tabs>
          <w:tab w:val="left" w:pos="0"/>
        </w:tabs>
        <w:ind w:left="0"/>
        <w:rPr>
          <w:rFonts w:ascii="NewsGoth BT" w:hAnsi="NewsGoth BT" w:cs="NewsGoth BT"/>
          <w:color w:val="000000"/>
          <w:sz w:val="28"/>
        </w:rPr>
      </w:pPr>
    </w:p>
    <w:p w14:paraId="32186C1A" w14:textId="77777777" w:rsidR="00AA4751" w:rsidRPr="00F9256C" w:rsidRDefault="00AA4751" w:rsidP="00AA4751">
      <w:pPr>
        <w:pStyle w:val="ListParagraph"/>
        <w:numPr>
          <w:ilvl w:val="0"/>
          <w:numId w:val="5"/>
        </w:numPr>
        <w:tabs>
          <w:tab w:val="left" w:pos="0"/>
        </w:tabs>
        <w:ind w:left="0"/>
        <w:rPr>
          <w:rFonts w:ascii="NewsGoth BT" w:hAnsi="NewsGoth BT" w:cs="NewsGoth BT"/>
          <w:color w:val="000000"/>
          <w:sz w:val="28"/>
        </w:rPr>
      </w:pPr>
      <w:r>
        <w:rPr>
          <w:rFonts w:ascii="NewsGoth BT" w:hAnsi="NewsGoth BT" w:cs="NewsGoth BT"/>
          <w:color w:val="000000"/>
          <w:sz w:val="28"/>
        </w:rPr>
        <w:t>Align your learning goals and assessments to work-based learning skill development. Reflect on the ways global competence is included in these learning experiences.</w:t>
      </w:r>
    </w:p>
    <w:p w14:paraId="6DF80121" w14:textId="77777777" w:rsidR="00AA4751" w:rsidRPr="00CE05A9" w:rsidRDefault="00AA4751" w:rsidP="00AA4751">
      <w:pPr>
        <w:pStyle w:val="ListParagraph"/>
        <w:ind w:left="0"/>
        <w:rPr>
          <w:rFonts w:ascii="NewsGoth BT" w:hAnsi="NewsGoth BT" w:cs="NewsGoth BT"/>
          <w:color w:val="000000"/>
          <w:sz w:val="28"/>
        </w:rPr>
      </w:pPr>
    </w:p>
    <w:p w14:paraId="5E50329B" w14:textId="3936595F" w:rsidR="00AA4751" w:rsidRPr="00C72FBC" w:rsidRDefault="00AA4751" w:rsidP="00AA4751">
      <w:pPr>
        <w:pStyle w:val="ListParagraph"/>
        <w:numPr>
          <w:ilvl w:val="0"/>
          <w:numId w:val="5"/>
        </w:numPr>
        <w:autoSpaceDE w:val="0"/>
        <w:autoSpaceDN w:val="0"/>
        <w:adjustRightInd w:val="0"/>
        <w:ind w:left="0"/>
        <w:rPr>
          <w:rFonts w:ascii="NewsGoth BT" w:hAnsi="NewsGoth BT" w:cs="NewsGoth BT"/>
          <w:color w:val="000000"/>
          <w:sz w:val="28"/>
        </w:rPr>
      </w:pPr>
      <w:r w:rsidRPr="00C72FBC">
        <w:rPr>
          <w:rFonts w:ascii="NewsGoth BT" w:hAnsi="NewsGoth BT" w:cs="NewsGoth BT"/>
          <w:color w:val="000000"/>
          <w:sz w:val="28"/>
        </w:rPr>
        <w:t xml:space="preserve">Be sure to check the </w:t>
      </w:r>
      <w:r w:rsidR="00414096">
        <w:rPr>
          <w:rFonts w:ascii="NewsGoth BT" w:hAnsi="NewsGoth BT" w:cs="NewsGoth BT"/>
          <w:color w:val="000000"/>
          <w:sz w:val="28"/>
        </w:rPr>
        <w:t>Digital Promise</w:t>
      </w:r>
      <w:r w:rsidRPr="00C72FBC">
        <w:rPr>
          <w:rFonts w:ascii="NewsGoth BT" w:hAnsi="NewsGoth BT" w:cs="NewsGoth BT"/>
          <w:color w:val="000000"/>
          <w:sz w:val="28"/>
        </w:rPr>
        <w:t xml:space="preserve"> Global CTE </w:t>
      </w:r>
      <w:hyperlink r:id="rId12" w:history="1">
        <w:r w:rsidRPr="00C72FBC">
          <w:rPr>
            <w:rStyle w:val="Hyperlink"/>
            <w:rFonts w:ascii="NewsGoth BT" w:hAnsi="NewsGoth BT" w:cs="NewsGoth BT"/>
            <w:sz w:val="28"/>
          </w:rPr>
          <w:t>Toolkit</w:t>
        </w:r>
      </w:hyperlink>
      <w:r w:rsidRPr="00C72FBC">
        <w:rPr>
          <w:rFonts w:ascii="NewsGoth BT" w:hAnsi="NewsGoth BT" w:cs="NewsGoth BT"/>
          <w:color w:val="000000"/>
          <w:sz w:val="28"/>
        </w:rPr>
        <w:t xml:space="preserve"> for free tools and resources</w:t>
      </w:r>
      <w:r>
        <w:rPr>
          <w:rFonts w:ascii="NewsGoth BT" w:hAnsi="NewsGoth BT" w:cs="NewsGoth BT"/>
          <w:color w:val="000000"/>
          <w:sz w:val="28"/>
        </w:rPr>
        <w:t xml:space="preserve">, and don’t miss the section on </w:t>
      </w:r>
      <w:hyperlink r:id="rId13" w:history="1">
        <w:r w:rsidRPr="005A7227">
          <w:rPr>
            <w:rStyle w:val="Hyperlink"/>
            <w:rFonts w:ascii="NewsGoth BT" w:hAnsi="NewsGoth BT" w:cs="NewsGoth BT"/>
            <w:sz w:val="28"/>
          </w:rPr>
          <w:t>International Connections in Work-Based Learning</w:t>
        </w:r>
      </w:hyperlink>
      <w:r w:rsidRPr="00C72FBC">
        <w:rPr>
          <w:rFonts w:ascii="NewsGoth BT" w:hAnsi="NewsGoth BT" w:cs="NewsGoth BT"/>
          <w:color w:val="000000"/>
          <w:sz w:val="28"/>
        </w:rPr>
        <w:t>.</w:t>
      </w:r>
      <w:r>
        <w:t xml:space="preserve"> </w:t>
      </w:r>
    </w:p>
    <w:p w14:paraId="45B23DD9" w14:textId="77777777" w:rsidR="00AA4751" w:rsidRDefault="00AA4751" w:rsidP="00AA4751"/>
    <w:p w14:paraId="61FB89FE" w14:textId="77777777" w:rsidR="00AA4751" w:rsidRPr="00016E2B" w:rsidRDefault="00AA4751" w:rsidP="00AA4751">
      <w:pPr>
        <w:autoSpaceDE w:val="0"/>
        <w:autoSpaceDN w:val="0"/>
        <w:adjustRightInd w:val="0"/>
        <w:ind w:left="-270"/>
        <w:rPr>
          <w:rFonts w:ascii="NewsGoth BT" w:hAnsi="NewsGoth BT" w:cs="NewsGoth BT"/>
          <w:color w:val="000000"/>
          <w:sz w:val="28"/>
        </w:rPr>
      </w:pPr>
      <w:r w:rsidRPr="00016E2B">
        <w:rPr>
          <w:rFonts w:ascii="NewsGoth BT" w:hAnsi="NewsGoth BT" w:cs="NewsGoth BT"/>
          <w:color w:val="000000"/>
          <w:sz w:val="28"/>
        </w:rPr>
        <w:t>When you have completed these activities, you will be ready for “</w:t>
      </w:r>
      <w:r>
        <w:rPr>
          <w:rFonts w:ascii="NewsGoth BT" w:hAnsi="NewsGoth BT" w:cs="NewsGoth BT"/>
          <w:color w:val="000000"/>
          <w:sz w:val="28"/>
        </w:rPr>
        <w:t xml:space="preserve">Faculty </w:t>
      </w:r>
      <w:r w:rsidRPr="00016E2B">
        <w:rPr>
          <w:rFonts w:ascii="NewsGoth BT" w:hAnsi="NewsGoth BT" w:cs="NewsGoth BT"/>
          <w:color w:val="000000"/>
          <w:sz w:val="28"/>
        </w:rPr>
        <w:t xml:space="preserve">Module </w:t>
      </w:r>
      <w:r>
        <w:rPr>
          <w:rFonts w:ascii="NewsGoth BT" w:hAnsi="NewsGoth BT" w:cs="NewsGoth BT"/>
          <w:color w:val="000000"/>
          <w:sz w:val="28"/>
        </w:rPr>
        <w:t>9</w:t>
      </w:r>
      <w:r w:rsidRPr="00016E2B">
        <w:rPr>
          <w:rFonts w:ascii="NewsGoth BT" w:hAnsi="NewsGoth BT" w:cs="NewsGoth BT"/>
          <w:color w:val="000000"/>
          <w:sz w:val="28"/>
        </w:rPr>
        <w:t>:</w:t>
      </w:r>
      <w:r>
        <w:rPr>
          <w:rFonts w:ascii="NewsGoth BT" w:hAnsi="NewsGoth BT" w:cs="NewsGoth BT"/>
          <w:color w:val="000000"/>
          <w:sz w:val="28"/>
        </w:rPr>
        <w:t xml:space="preserve"> DIY Global Collaboration.” </w:t>
      </w:r>
    </w:p>
    <w:p w14:paraId="13B7E19D" w14:textId="70A2DAB6" w:rsidR="00214E6B" w:rsidRDefault="00214E6B" w:rsidP="00214E6B">
      <w:pPr>
        <w:autoSpaceDE w:val="0"/>
        <w:autoSpaceDN w:val="0"/>
        <w:adjustRightInd w:val="0"/>
        <w:rPr>
          <w:rFonts w:ascii="Calibri" w:hAnsi="Calibri" w:cs="Calibri"/>
          <w:color w:val="000000"/>
          <w:sz w:val="22"/>
          <w:szCs w:val="22"/>
        </w:rPr>
      </w:pPr>
      <w:r w:rsidRPr="00484B22">
        <w:rPr>
          <w:rFonts w:ascii="Calibri" w:hAnsi="Calibri" w:cs="Calibri"/>
          <w:color w:val="000000"/>
          <w:sz w:val="22"/>
          <w:szCs w:val="22"/>
        </w:rPr>
        <w:t> </w:t>
      </w:r>
    </w:p>
    <w:p w14:paraId="55DDBE44" w14:textId="1B38DA9F" w:rsidR="00160CB8" w:rsidRPr="00463CB1" w:rsidRDefault="00160CB8" w:rsidP="00160CB8">
      <w:pPr>
        <w:pStyle w:val="ListParagraph"/>
        <w:autoSpaceDE w:val="0"/>
        <w:autoSpaceDN w:val="0"/>
        <w:adjustRightInd w:val="0"/>
        <w:ind w:left="-27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 </w:t>
      </w:r>
    </w:p>
    <w:p w14:paraId="0FBD2C30" w14:textId="0D7B242C" w:rsidR="00016E2B" w:rsidRPr="00016E2B" w:rsidRDefault="00016E2B" w:rsidP="00160CB8">
      <w:pPr>
        <w:autoSpaceDE w:val="0"/>
        <w:autoSpaceDN w:val="0"/>
        <w:adjustRightInd w:val="0"/>
        <w:rPr>
          <w:rFonts w:ascii="NewsGoth BT" w:hAnsi="NewsGoth BT" w:cs="NewsGoth BT"/>
          <w:color w:val="000000"/>
          <w:sz w:val="28"/>
        </w:rPr>
      </w:pPr>
      <w:r>
        <w:rPr>
          <w:rFonts w:ascii="NewsGoth BT" w:hAnsi="NewsGoth BT" w:cs="NewsGoth BT"/>
          <w:color w:val="000000"/>
          <w:sz w:val="28"/>
        </w:rPr>
        <w:t xml:space="preserve"> </w:t>
      </w:r>
    </w:p>
    <w:p w14:paraId="7B82DA52" w14:textId="003A2EFF" w:rsidR="00F472A3" w:rsidRPr="009B5E83" w:rsidRDefault="00F472A3" w:rsidP="009B5E83">
      <w:pPr>
        <w:rPr>
          <w:rFonts w:ascii="Calibri" w:hAnsi="Calibri" w:cs="Calibri"/>
          <w:color w:val="000000"/>
        </w:rPr>
      </w:pPr>
    </w:p>
    <w:sectPr w:rsidR="00F472A3" w:rsidRPr="009B5E83"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1180143C"/>
    <w:multiLevelType w:val="hybridMultilevel"/>
    <w:tmpl w:val="099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962"/>
    <w:multiLevelType w:val="hybridMultilevel"/>
    <w:tmpl w:val="3A44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E18B2"/>
    <w:multiLevelType w:val="multilevel"/>
    <w:tmpl w:val="53BCA9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025174">
    <w:abstractNumId w:val="0"/>
    <w:lvlOverride w:ilvl="0">
      <w:lvl w:ilvl="0">
        <w:numFmt w:val="bullet"/>
        <w:lvlText w:val=""/>
        <w:legacy w:legacy="1" w:legacySpace="0" w:legacyIndent="140"/>
        <w:lvlJc w:val="left"/>
        <w:rPr>
          <w:rFonts w:ascii="Symbol" w:hAnsi="Symbol" w:hint="default"/>
        </w:rPr>
      </w:lvl>
    </w:lvlOverride>
  </w:num>
  <w:num w:numId="2" w16cid:durableId="1549612775">
    <w:abstractNumId w:val="8"/>
  </w:num>
  <w:num w:numId="3" w16cid:durableId="1550722018">
    <w:abstractNumId w:val="9"/>
  </w:num>
  <w:num w:numId="4" w16cid:durableId="1041784969">
    <w:abstractNumId w:val="10"/>
  </w:num>
  <w:num w:numId="5" w16cid:durableId="247471312">
    <w:abstractNumId w:val="4"/>
  </w:num>
  <w:num w:numId="6" w16cid:durableId="1766151495">
    <w:abstractNumId w:val="6"/>
  </w:num>
  <w:num w:numId="7" w16cid:durableId="143283898">
    <w:abstractNumId w:val="5"/>
  </w:num>
  <w:num w:numId="8" w16cid:durableId="1480152031">
    <w:abstractNumId w:val="1"/>
  </w:num>
  <w:num w:numId="9" w16cid:durableId="1517503781">
    <w:abstractNumId w:val="2"/>
  </w:num>
  <w:num w:numId="10" w16cid:durableId="779682304">
    <w:abstractNumId w:val="7"/>
  </w:num>
  <w:num w:numId="11" w16cid:durableId="23228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D568C"/>
    <w:rsid w:val="00160CB8"/>
    <w:rsid w:val="002039DD"/>
    <w:rsid w:val="00214E6B"/>
    <w:rsid w:val="002C68CA"/>
    <w:rsid w:val="00316205"/>
    <w:rsid w:val="00414096"/>
    <w:rsid w:val="00484B22"/>
    <w:rsid w:val="005535CB"/>
    <w:rsid w:val="0059129E"/>
    <w:rsid w:val="005D7177"/>
    <w:rsid w:val="006739A8"/>
    <w:rsid w:val="006A1312"/>
    <w:rsid w:val="007258F8"/>
    <w:rsid w:val="00796F75"/>
    <w:rsid w:val="007F5D92"/>
    <w:rsid w:val="00890C7B"/>
    <w:rsid w:val="009371DA"/>
    <w:rsid w:val="009558E4"/>
    <w:rsid w:val="00956FEA"/>
    <w:rsid w:val="009B2184"/>
    <w:rsid w:val="009B5E83"/>
    <w:rsid w:val="009E4A5F"/>
    <w:rsid w:val="00A6589E"/>
    <w:rsid w:val="00AA244B"/>
    <w:rsid w:val="00AA4751"/>
    <w:rsid w:val="00BF32CE"/>
    <w:rsid w:val="00C33227"/>
    <w:rsid w:val="00C57522"/>
    <w:rsid w:val="00CE05A9"/>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6739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969553849">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digitalpromise.org/initiative/global-education/work-based-learning-international-connection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digitalpromise.org/c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te.ed.gov/wbltoolk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gitalpromise.org/initiative/global-education/student-assignments/" TargetMode="External"/><Relationship Id="rId4" Type="http://schemas.openxmlformats.org/officeDocument/2006/relationships/settings" Target="settings.xml"/><Relationship Id="rId9" Type="http://schemas.openxmlformats.org/officeDocument/2006/relationships/hyperlink" Target="https://digitalpromise.org/initiative/global-education/dei-postsecondary-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5FE8-07B4-324E-9F6B-9F0E224D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3</cp:revision>
  <cp:lastPrinted>2021-06-30T22:27:00Z</cp:lastPrinted>
  <dcterms:created xsi:type="dcterms:W3CDTF">2022-06-14T19:01:00Z</dcterms:created>
  <dcterms:modified xsi:type="dcterms:W3CDTF">2023-01-10T23:58:00Z</dcterms:modified>
</cp:coreProperties>
</file>