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255EA508" w:rsidR="00956FEA" w:rsidRDefault="0012660A" w:rsidP="0012660A">
      <w:pPr>
        <w:jc w:val="center"/>
      </w:pPr>
      <w:r>
        <w:rPr>
          <w:noProof/>
        </w:rPr>
        <w:drawing>
          <wp:inline distT="0" distB="0" distL="0" distR="0" wp14:anchorId="3AEDE060" wp14:editId="7FB5A5B2">
            <wp:extent cx="3810000" cy="1625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3810000" cy="162560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7FB8E51D">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2F079148" w14:textId="024B243A" w:rsidR="006661F6" w:rsidRPr="006661F6" w:rsidRDefault="00C33227" w:rsidP="006661F6">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24CBCD7B">
                <wp:simplePos x="0" y="0"/>
                <wp:positionH relativeFrom="column">
                  <wp:posOffset>228600</wp:posOffset>
                </wp:positionH>
                <wp:positionV relativeFrom="paragraph">
                  <wp:posOffset>1005840</wp:posOffset>
                </wp:positionV>
                <wp:extent cx="5791200" cy="42767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5791200" cy="4276725"/>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39B7F21" w14:textId="4866EF35" w:rsidR="00956FEA" w:rsidRPr="009B2184" w:rsidRDefault="00C33227" w:rsidP="000D568C">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00956FEA" w:rsidRPr="009B2184">
                              <w:rPr>
                                <w:rFonts w:ascii="NewsGoth BT" w:hAnsi="NewsGoth BT" w:cs="NewsGoth BT"/>
                                <w:bCs/>
                                <w:color w:val="2F5496" w:themeColor="accent1" w:themeShade="BF"/>
                                <w:sz w:val="56"/>
                                <w:szCs w:val="56"/>
                              </w:rPr>
                              <w:t>Module 1:</w:t>
                            </w:r>
                            <w:r w:rsidR="00F472A3" w:rsidRPr="009B2184">
                              <w:rPr>
                                <w:rFonts w:ascii="NewsGoth BT" w:hAnsi="NewsGoth BT" w:cs="NewsGoth BT"/>
                                <w:color w:val="2F5496" w:themeColor="accent1" w:themeShade="BF"/>
                                <w:sz w:val="56"/>
                                <w:szCs w:val="56"/>
                              </w:rPr>
                              <w:t xml:space="preserve"> </w:t>
                            </w:r>
                            <w:r>
                              <w:rPr>
                                <w:rFonts w:ascii="NewsGoth BT" w:hAnsi="NewsGoth BT" w:cs="NewsGoth BT"/>
                                <w:color w:val="2F5496" w:themeColor="accent1" w:themeShade="BF"/>
                                <w:sz w:val="56"/>
                                <w:szCs w:val="56"/>
                              </w:rPr>
                              <w:t>The Importance of Global Competence for CTE</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2pt;width:456pt;height:3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ufLwIAAFwEAAAOAAAAZHJzL2Uyb0RvYy54bWysVE2P2yAQvVfqf0DcGydpPnatOKs0q1SV&#10;ot2VstWeCYYYCTMUSOz013fA+eq2p6oXMjDjx8x7j8we2lqTg3BegSnooNenRBgOpTK7gn5/XX26&#10;o8QHZkqmwYiCHoWnD/OPH2aNzcUQKtClcARBjM8bW9AqBJtnmeeVqJnvgRUGkxJczQJu3S4rHWsQ&#10;vdbZsN+fZA240jrgwns8feySdJ7wpRQ8PEvpRSC6oNhbSKtL6zau2XzG8p1jtlL81Ab7hy5qpgxe&#10;eoF6ZIGRvVN/QNWKO/AgQ49DnYGUios0A04z6L+bZlMxK9IsSI63F5r8/4PlT4eNfXEktF+gRQEj&#10;IY31ucfDOE8rXR1/sVOCeaTweKFNtIFwPBxP7weoBSUcc6PhdDIdjiNOdv3cOh++CqhJDArqUJdE&#10;FzusfehKzyXxNg9alSulddpEL4ilduTAUEUdUpMI/luVNqQp6OTzuJ+ADcTPO2RtsJfrUDEK7bYl&#10;qrwZeAvlEXlw0FnEW75S2Oua+fDCHHoC50Ofh2dcpAa8C04RJRW4n387j/UoFWYpadBjBfU/9swJ&#10;SvQ3gyLeD0ajaMq0GY2nQ9y428z2NmP29RKQgAG+KMtTGOuDPofSQf2Gz2ERb8UUMxzvLmg4h8vQ&#10;OR+fExeLRSpCG1oW1mZjeYSOhEclXts35uxJroBKP8HZjSx/p1pXG780sNgHkCpJGnnuWD3RjxZO&#10;pjg9t/hGbvep6vqnMP8FAAD//wMAUEsDBBQABgAIAAAAIQBTrMqH4QAAAAoBAAAPAAAAZHJzL2Rv&#10;d25yZXYueG1sTI/BTsMwEETvSPyDtUhcUOuUtCUNcSqEgErcaAqImxsvSUS8jmI3CX/PcoLjzo5m&#10;3mTbybZiwN43jhQs5hEIpNKZhioFh+JxloDwQZPRrSNU8I0etvn5WaZT40Z6wWEfKsEh5FOtoA6h&#10;S6X0ZY1W+7nrkPj36XqrA599JU2vRw63rbyOorW0uiFuqHWH9zWWX/uTVfBxVb0/++npdYxXcfew&#10;G4qbN1ModXkx3d2CCDiFPzP84jM65Mx0dCcyXrQK4jVPCayvkiUINmyWCStHBUm82IDMM/l/Qv4D&#10;AAD//wMAUEsBAi0AFAAGAAgAAAAhALaDOJL+AAAA4QEAABMAAAAAAAAAAAAAAAAAAAAAAFtDb250&#10;ZW50X1R5cGVzXS54bWxQSwECLQAUAAYACAAAACEAOP0h/9YAAACUAQAACwAAAAAAAAAAAAAAAAAv&#10;AQAAX3JlbHMvLnJlbHNQSwECLQAUAAYACAAAACEADAd7ny8CAABcBAAADgAAAAAAAAAAAAAAAAAu&#10;AgAAZHJzL2Uyb0RvYy54bWxQSwECLQAUAAYACAAAACEAU6zKh+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39B7F21" w14:textId="4866EF35" w:rsidR="00956FEA" w:rsidRPr="009B2184" w:rsidRDefault="00C33227" w:rsidP="000D568C">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00956FEA" w:rsidRPr="009B2184">
                        <w:rPr>
                          <w:rFonts w:ascii="NewsGoth BT" w:hAnsi="NewsGoth BT" w:cs="NewsGoth BT"/>
                          <w:bCs/>
                          <w:color w:val="2F5496" w:themeColor="accent1" w:themeShade="BF"/>
                          <w:sz w:val="56"/>
                          <w:szCs w:val="56"/>
                        </w:rPr>
                        <w:t>Module 1:</w:t>
                      </w:r>
                      <w:r w:rsidR="00F472A3" w:rsidRPr="009B2184">
                        <w:rPr>
                          <w:rFonts w:ascii="NewsGoth BT" w:hAnsi="NewsGoth BT" w:cs="NewsGoth BT"/>
                          <w:color w:val="2F5496" w:themeColor="accent1" w:themeShade="BF"/>
                          <w:sz w:val="56"/>
                          <w:szCs w:val="56"/>
                        </w:rPr>
                        <w:t xml:space="preserve"> </w:t>
                      </w:r>
                      <w:r>
                        <w:rPr>
                          <w:rFonts w:ascii="NewsGoth BT" w:hAnsi="NewsGoth BT" w:cs="NewsGoth BT"/>
                          <w:color w:val="2F5496" w:themeColor="accent1" w:themeShade="BF"/>
                          <w:sz w:val="56"/>
                          <w:szCs w:val="56"/>
                        </w:rPr>
                        <w:t>The Importance of Global Competence for CTE</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2041E8" w:rsidRPr="00AA244B">
        <w:rPr>
          <w:noProof/>
          <w:sz w:val="28"/>
        </w:rPr>
        <w:lastRenderedPageBreak/>
        <mc:AlternateContent>
          <mc:Choice Requires="wps">
            <w:drawing>
              <wp:anchor distT="0" distB="0" distL="114300" distR="114300" simplePos="0" relativeHeight="251676672" behindDoc="0" locked="0" layoutInCell="1" allowOverlap="1" wp14:anchorId="16F7B7F3" wp14:editId="17B9769A">
                <wp:simplePos x="0" y="0"/>
                <wp:positionH relativeFrom="margin">
                  <wp:align>center</wp:align>
                </wp:positionH>
                <wp:positionV relativeFrom="paragraph">
                  <wp:posOffset>-434340</wp:posOffset>
                </wp:positionV>
                <wp:extent cx="7269480" cy="9311640"/>
                <wp:effectExtent l="19050" t="19050" r="26670" b="22860"/>
                <wp:wrapNone/>
                <wp:docPr id="8" name="Rectangle 8"/>
                <wp:cNvGraphicFramePr/>
                <a:graphic xmlns:a="http://schemas.openxmlformats.org/drawingml/2006/main">
                  <a:graphicData uri="http://schemas.microsoft.com/office/word/2010/wordprocessingShape">
                    <wps:wsp>
                      <wps:cNvSpPr/>
                      <wps:spPr>
                        <a:xfrm>
                          <a:off x="0" y="0"/>
                          <a:ext cx="7269480" cy="9311640"/>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C9E5D" w14:textId="77777777" w:rsidR="002041E8" w:rsidRDefault="002041E8" w:rsidP="002041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7B7F3" id="Rectangle 8" o:spid="_x0000_s1029" style="position:absolute;margin-left:0;margin-top:-34.2pt;width:572.4pt;height:733.2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ibmAIAAKMFAAAOAAAAZHJzL2Uyb0RvYy54bWysVFtP2zAUfp+0/2D5fSQpBUpFiioQ0yQG&#10;CJh4dh2bWHJ8PNtt0v36HTtp2rE+TXtJbJ/Ld853LlfXXaPJRjivwJS0OMkpEYZDpcx7SX+83n2Z&#10;UeIDMxXTYERJt8LT68XnT1etnYsJ1KAr4Qg6MX7e2pLWIdh5lnlei4b5E7DCoFCCa1jAq3vPKsda&#10;9N7obJLn51kLrrIOuPAeX297IV0k/1IKHh6l9CIQXVKMLaSvS99V/GaLKzZ/d8zWig9hsH+IomHK&#10;IOjo6pYFRtZO/eWqUdyBBxlOODQZSKm4SDlgNkX+IZuXmlmRckFyvB1p8v/PLX/YvNgnhzS01s89&#10;HmMWnXRN/GN8pEtkbUeyRBcIx8eLyfnldIaccpRdnhbF+TTRme3NrfPhq4CGxENJHVYjkcQ29z4g&#10;JKruVCKagTuldaqINqQt6emsyPNk4UGrKkqjXmoOcaMd2TAsK+NcmFAkPb1uvkPVv1+c5Wjdw4wm&#10;CfTAG4agDT7us0+nsNUiQmnzLCRRFeY76QOJjXkc29esEj10RD4OnRxGzxKTGX33wY9B/plXn8Gg&#10;H01F6uvReGDoeGC98WiRkMGE0bhRBtyxzDQyOiD3+juSemoiS6FbdcgN1ilqxpcVVNsnRxz0c+Yt&#10;v1NY+nvmwxNzOFjYLrgswiN+pAYsMQwnSmpwv469R33sd5RS0uKgltT/XDMnKNHfDE7CZTHFxiMh&#10;XaZnFxO8uEPJ6lBi1s0NYNMUuJYsT8eoH/TuKB00b7hTlhEVRcxwxC4pD253uQn9AsGtxMVymdRw&#10;mi0L9+bF8ug88hxb+7V7Y84O/R9wdB5gN9Rs/mEMet1oaWC5DiBVmpE9r0MFcBOkLh62Vlw1h/ek&#10;td+ti98AAAD//wMAUEsDBBQABgAIAAAAIQB5YW1N3wAAAAoBAAAPAAAAZHJzL2Rvd25yZXYueG1s&#10;TI/BbsIwDIbvk/YOkSftMkHCqFDXNUWoErtwQAMeIG28tqNxqiZA9/Yzp+1m67d+f1++nlwvrjiG&#10;zpOGxVyBQKq97ajRcDpuZymIEA1Z03tCDT8YYF08PuQms/5Gn3g9xEZwCYXMaGhjHDIpQ92iM2Hu&#10;ByTOvvzoTOR1bKQdzY3LXS9flVpJZzriD60ZsGyxPh8uToNfnnfTS+V25nubbJwq9x/Hcq/189O0&#10;eQcRcYp/x3DHZ3QomKnyF7JB9BpYJGqYrdIExD1eJAmrVDwt31IFssjlf4XiFwAA//8DAFBLAQIt&#10;ABQABgAIAAAAIQC2gziS/gAAAOEBAAATAAAAAAAAAAAAAAAAAAAAAABbQ29udGVudF9UeXBlc10u&#10;eG1sUEsBAi0AFAAGAAgAAAAhADj9If/WAAAAlAEAAAsAAAAAAAAAAAAAAAAALwEAAF9yZWxzLy5y&#10;ZWxzUEsBAi0AFAAGAAgAAAAhAN3FqJuYAgAAowUAAA4AAAAAAAAAAAAAAAAALgIAAGRycy9lMm9E&#10;b2MueG1sUEsBAi0AFAAGAAgAAAAhAHlhbU3fAAAACgEAAA8AAAAAAAAAAAAAAAAA8gQAAGRycy9k&#10;b3ducmV2LnhtbFBLBQYAAAAABAAEAPMAAAD+BQAAAAA=&#10;" filled="f" strokecolor="#2f5496 [2404]" strokeweight="3pt">
                <v:textbox>
                  <w:txbxContent>
                    <w:p w14:paraId="1F2C9E5D" w14:textId="77777777" w:rsidR="002041E8" w:rsidRDefault="002041E8" w:rsidP="002041E8"/>
                  </w:txbxContent>
                </v:textbox>
                <w10:wrap anchorx="margin"/>
              </v:rect>
            </w:pict>
          </mc:Fallback>
        </mc:AlternateContent>
      </w:r>
      <w:r w:rsidR="00F526D2" w:rsidRPr="006661F6">
        <w:rPr>
          <w:b/>
          <w:bCs/>
        </w:rPr>
        <w:softHyphen/>
      </w:r>
      <w:r w:rsidR="00F526D2" w:rsidRPr="006661F6">
        <w:rPr>
          <w:b/>
          <w:bCs/>
        </w:rPr>
        <w:softHyphen/>
      </w:r>
      <w:r w:rsidR="00F526D2" w:rsidRPr="006661F6">
        <w:rPr>
          <w:b/>
          <w:bCs/>
        </w:rPr>
        <w:softHyphen/>
      </w:r>
      <w:r w:rsidR="00F526D2" w:rsidRPr="006661F6">
        <w:rPr>
          <w:b/>
          <w:bCs/>
        </w:rPr>
        <w:softHyphen/>
      </w:r>
      <w:r w:rsidR="006661F6" w:rsidRPr="006661F6">
        <w:rPr>
          <w:b/>
          <w:bCs/>
        </w:rPr>
        <w:t>Module 1: Global Workforce Readiness Skills – A New Imperative</w:t>
      </w:r>
    </w:p>
    <w:p w14:paraId="036124A7" w14:textId="68FA299B" w:rsidR="006661F6" w:rsidRDefault="006661F6" w:rsidP="006661F6">
      <w:pPr>
        <w:pStyle w:val="NormalWeb"/>
        <w:shd w:val="clear" w:color="auto" w:fill="FEFEFE"/>
        <w:rPr>
          <w:rFonts w:ascii="acumin-pro" w:hAnsi="acumin-pro"/>
          <w:color w:val="000000"/>
        </w:rPr>
      </w:pPr>
      <w:r>
        <w:rPr>
          <w:rFonts w:ascii="acumin-pro" w:hAnsi="acumin-pro"/>
          <w:color w:val="000000"/>
        </w:rPr>
        <w:t>Today’s students will be graduating into a world that is ever more interconnected. One in ten Americans is foreign born, and local communities—urban, suburban, and rural—are growing more diverse. To take advantage of global market opportunities, companies want employees with the knowledge and skills to work across cultures. Therefore, faculty teaching in career and technical education (CTE) pathways need to prepare their students to compete, connect, and cooperate on an international scale in order to find jobs and move along a career trajectory. This module will establish a rationale for incorporating global competence in postsecondary CTE and introduces natural ways to make those connections.</w:t>
      </w:r>
    </w:p>
    <w:p w14:paraId="40C7D364" w14:textId="5F2A024C" w:rsidR="006661F6" w:rsidRPr="006661F6" w:rsidRDefault="006661F6" w:rsidP="006661F6">
      <w:pPr>
        <w:pStyle w:val="NormalWeb"/>
        <w:shd w:val="clear" w:color="auto" w:fill="FEFEFE"/>
        <w:rPr>
          <w:rFonts w:ascii="acumin-pro" w:hAnsi="acumin-pro"/>
          <w:b/>
          <w:bCs/>
          <w:color w:val="000000"/>
        </w:rPr>
      </w:pPr>
      <w:r w:rsidRPr="006661F6">
        <w:rPr>
          <w:rFonts w:ascii="acumin-pro" w:hAnsi="acumin-pro"/>
          <w:b/>
          <w:bCs/>
          <w:color w:val="000000"/>
        </w:rPr>
        <w:t>Module Objectives:</w:t>
      </w:r>
    </w:p>
    <w:p w14:paraId="4D056A0F" w14:textId="204B6A0B" w:rsidR="006661F6" w:rsidRDefault="006661F6" w:rsidP="006661F6">
      <w:pPr>
        <w:numPr>
          <w:ilvl w:val="0"/>
          <w:numId w:val="9"/>
        </w:numPr>
        <w:shd w:val="clear" w:color="auto" w:fill="FEFEFE"/>
        <w:rPr>
          <w:rFonts w:ascii="acumin-pro" w:hAnsi="acumin-pro"/>
          <w:color w:val="000000"/>
        </w:rPr>
      </w:pPr>
      <w:r>
        <w:rPr>
          <w:rFonts w:ascii="acumin-pro" w:hAnsi="acumin-pro"/>
          <w:color w:val="000000"/>
        </w:rPr>
        <w:t>Explore global career readiness,</w:t>
      </w:r>
    </w:p>
    <w:p w14:paraId="63C2AD45" w14:textId="30485404" w:rsidR="006661F6" w:rsidRDefault="006661F6" w:rsidP="006661F6">
      <w:pPr>
        <w:numPr>
          <w:ilvl w:val="0"/>
          <w:numId w:val="9"/>
        </w:numPr>
        <w:shd w:val="clear" w:color="auto" w:fill="FEFEFE"/>
        <w:rPr>
          <w:rFonts w:ascii="acumin-pro" w:hAnsi="acumin-pro"/>
          <w:color w:val="000000"/>
        </w:rPr>
      </w:pPr>
      <w:r>
        <w:rPr>
          <w:rFonts w:ascii="acumin-pro" w:hAnsi="acumin-pro"/>
          <w:color w:val="000000"/>
        </w:rPr>
        <w:t>Help faculty recognize internationalization opportunities, and</w:t>
      </w:r>
    </w:p>
    <w:p w14:paraId="3E7E1884" w14:textId="67FD73E0" w:rsidR="006661F6" w:rsidRDefault="006661F6" w:rsidP="006661F6">
      <w:pPr>
        <w:numPr>
          <w:ilvl w:val="0"/>
          <w:numId w:val="9"/>
        </w:numPr>
        <w:shd w:val="clear" w:color="auto" w:fill="FEFEFE"/>
        <w:rPr>
          <w:rFonts w:ascii="acumin-pro" w:hAnsi="acumin-pro"/>
          <w:color w:val="000000"/>
        </w:rPr>
      </w:pPr>
      <w:r>
        <w:rPr>
          <w:rFonts w:ascii="acumin-pro" w:hAnsi="acumin-pro"/>
          <w:color w:val="000000"/>
        </w:rPr>
        <w:t>Analyze ways to prepare a globally competent, diverse workforce through postsecondary CTE programs.</w:t>
      </w:r>
    </w:p>
    <w:p w14:paraId="6EE0F20B" w14:textId="73B1D509" w:rsidR="00894481" w:rsidRDefault="00894481"/>
    <w:p w14:paraId="133752BB" w14:textId="5D57F6B3" w:rsidR="006661F6" w:rsidRPr="00012EFA" w:rsidRDefault="006661F6" w:rsidP="006661F6">
      <w:pPr>
        <w:shd w:val="clear" w:color="auto" w:fill="FEFEFE"/>
        <w:rPr>
          <w:rFonts w:ascii="acumin-pro" w:hAnsi="acumin-pro"/>
          <w:b/>
          <w:bCs/>
          <w:color w:val="000000"/>
        </w:rPr>
      </w:pPr>
      <w:r w:rsidRPr="00012EFA">
        <w:rPr>
          <w:rFonts w:ascii="acumin-pro" w:hAnsi="acumin-pro"/>
          <w:b/>
          <w:bCs/>
          <w:color w:val="000000"/>
        </w:rPr>
        <w:t>Audience:</w:t>
      </w:r>
    </w:p>
    <w:p w14:paraId="4C6D8B80" w14:textId="1217DFA9" w:rsidR="006661F6" w:rsidRDefault="006661F6" w:rsidP="006661F6">
      <w:pPr>
        <w:rPr>
          <w:rFonts w:ascii="acumin-pro" w:hAnsi="acumin-pro"/>
          <w:color w:val="000000"/>
        </w:rPr>
      </w:pPr>
      <w:r>
        <w:rPr>
          <w:rFonts w:ascii="acumin-pro" w:hAnsi="acumin-pro"/>
          <w:color w:val="000000"/>
        </w:rPr>
        <w:t xml:space="preserve">This module is geared towards community college administrators </w:t>
      </w:r>
      <w:r w:rsidR="002910FC">
        <w:rPr>
          <w:rFonts w:ascii="acumin-pro" w:hAnsi="acumin-pro"/>
          <w:color w:val="000000"/>
        </w:rPr>
        <w:t xml:space="preserve">and faculty </w:t>
      </w:r>
      <w:r>
        <w:rPr>
          <w:rFonts w:ascii="acumin-pro" w:hAnsi="acumin-pro"/>
          <w:color w:val="000000"/>
        </w:rPr>
        <w:t>to gain a greater understanding of how to support global competence integration efforts</w:t>
      </w:r>
      <w:r w:rsidR="002910FC">
        <w:rPr>
          <w:rFonts w:ascii="acumin-pro" w:hAnsi="acumin-pro"/>
          <w:color w:val="000000"/>
        </w:rPr>
        <w:t xml:space="preserve">. </w:t>
      </w:r>
    </w:p>
    <w:p w14:paraId="218D96DA" w14:textId="77777777" w:rsidR="006661F6" w:rsidRDefault="006661F6" w:rsidP="006661F6">
      <w:pPr>
        <w:rPr>
          <w:rFonts w:ascii="acumin-pro" w:hAnsi="acumin-pro"/>
          <w:color w:val="000000"/>
        </w:rPr>
      </w:pPr>
    </w:p>
    <w:p w14:paraId="4FE0EB82" w14:textId="77777777" w:rsidR="006661F6" w:rsidRPr="002E0A74" w:rsidRDefault="006661F6" w:rsidP="006661F6">
      <w:pPr>
        <w:rPr>
          <w:rFonts w:ascii="acumin-pro" w:hAnsi="acumin-pro"/>
          <w:color w:val="000000"/>
        </w:rPr>
      </w:pPr>
      <w:r w:rsidRPr="00012EFA">
        <w:rPr>
          <w:rFonts w:ascii="acumin-pro" w:hAnsi="acumin-pro"/>
          <w:b/>
          <w:bCs/>
          <w:color w:val="000000"/>
        </w:rPr>
        <w:t>Module Outline:</w:t>
      </w:r>
    </w:p>
    <w:p w14:paraId="57C49678" w14:textId="32F1B001" w:rsidR="002910FC" w:rsidRDefault="002910FC" w:rsidP="006661F6">
      <w:pPr>
        <w:pStyle w:val="ListParagraph"/>
        <w:numPr>
          <w:ilvl w:val="0"/>
          <w:numId w:val="10"/>
        </w:numPr>
        <w:spacing w:after="160" w:line="259" w:lineRule="auto"/>
        <w:rPr>
          <w:rFonts w:ascii="acumin-pro" w:hAnsi="acumin-pro"/>
          <w:color w:val="000000"/>
        </w:rPr>
      </w:pPr>
      <w:r>
        <w:rPr>
          <w:rFonts w:ascii="acumin-pro" w:hAnsi="acumin-pro"/>
          <w:color w:val="000000"/>
        </w:rPr>
        <w:t>Overview of global learning in CTE programs</w:t>
      </w:r>
    </w:p>
    <w:p w14:paraId="42A80E9B" w14:textId="45669B4D" w:rsidR="002910FC" w:rsidRDefault="002910FC" w:rsidP="006661F6">
      <w:pPr>
        <w:pStyle w:val="ListParagraph"/>
        <w:numPr>
          <w:ilvl w:val="0"/>
          <w:numId w:val="10"/>
        </w:numPr>
        <w:spacing w:after="160" w:line="259" w:lineRule="auto"/>
        <w:rPr>
          <w:rFonts w:ascii="acumin-pro" w:hAnsi="acumin-pro"/>
          <w:color w:val="000000"/>
        </w:rPr>
      </w:pPr>
      <w:r>
        <w:rPr>
          <w:rFonts w:ascii="acumin-pro" w:hAnsi="acumin-pro"/>
          <w:color w:val="000000"/>
        </w:rPr>
        <w:t>Business leaders speak to the important of building a globally competent workforce</w:t>
      </w:r>
    </w:p>
    <w:p w14:paraId="7D92C2D7" w14:textId="092728AF" w:rsidR="002910FC" w:rsidRDefault="002910FC" w:rsidP="006661F6">
      <w:pPr>
        <w:pStyle w:val="ListParagraph"/>
        <w:numPr>
          <w:ilvl w:val="0"/>
          <w:numId w:val="10"/>
        </w:numPr>
        <w:spacing w:after="160" w:line="259" w:lineRule="auto"/>
        <w:rPr>
          <w:rFonts w:ascii="acumin-pro" w:hAnsi="acumin-pro"/>
          <w:color w:val="000000"/>
        </w:rPr>
      </w:pPr>
      <w:r>
        <w:rPr>
          <w:rFonts w:ascii="acumin-pro" w:hAnsi="acumin-pro"/>
          <w:color w:val="000000"/>
        </w:rPr>
        <w:t>Faculty Reflection on global perspectives in CTE content areas (included in this packet for note taking)</w:t>
      </w:r>
    </w:p>
    <w:p w14:paraId="60757094" w14:textId="218EE746" w:rsidR="002910FC" w:rsidRDefault="002910FC" w:rsidP="006661F6">
      <w:pPr>
        <w:pStyle w:val="ListParagraph"/>
        <w:numPr>
          <w:ilvl w:val="0"/>
          <w:numId w:val="10"/>
        </w:numPr>
        <w:spacing w:after="160" w:line="259" w:lineRule="auto"/>
        <w:rPr>
          <w:rFonts w:ascii="acumin-pro" w:hAnsi="acumin-pro"/>
          <w:color w:val="000000"/>
        </w:rPr>
      </w:pPr>
      <w:r>
        <w:rPr>
          <w:rFonts w:ascii="acumin-pro" w:hAnsi="acumin-pro"/>
          <w:color w:val="000000"/>
        </w:rPr>
        <w:t>Career Ready Practices Overview</w:t>
      </w:r>
    </w:p>
    <w:p w14:paraId="7BA5B086" w14:textId="6293ADA1" w:rsidR="002910FC" w:rsidRDefault="002910FC" w:rsidP="002910FC">
      <w:pPr>
        <w:pStyle w:val="ListParagraph"/>
        <w:numPr>
          <w:ilvl w:val="0"/>
          <w:numId w:val="10"/>
        </w:numPr>
        <w:spacing w:after="160" w:line="259" w:lineRule="auto"/>
        <w:rPr>
          <w:rFonts w:ascii="acumin-pro" w:hAnsi="acumin-pro"/>
          <w:color w:val="000000"/>
        </w:rPr>
      </w:pPr>
      <w:r>
        <w:rPr>
          <w:rFonts w:ascii="acumin-pro" w:hAnsi="acumin-pro"/>
          <w:color w:val="000000"/>
        </w:rPr>
        <w:t>Global Career Ready Practices Overview</w:t>
      </w:r>
    </w:p>
    <w:p w14:paraId="5678DE0A" w14:textId="153C6C29" w:rsidR="002910FC" w:rsidRDefault="002910FC" w:rsidP="002910FC">
      <w:pPr>
        <w:pStyle w:val="ListParagraph"/>
        <w:numPr>
          <w:ilvl w:val="0"/>
          <w:numId w:val="10"/>
        </w:numPr>
        <w:spacing w:after="160" w:line="259" w:lineRule="auto"/>
        <w:rPr>
          <w:rFonts w:ascii="acumin-pro" w:hAnsi="acumin-pro"/>
          <w:color w:val="000000"/>
        </w:rPr>
      </w:pPr>
      <w:r>
        <w:rPr>
          <w:rFonts w:ascii="acumin-pro" w:hAnsi="acumin-pro"/>
          <w:color w:val="000000"/>
        </w:rPr>
        <w:t>Common Career Technical Core Global Competence Crosswalks: Resource for additional global ideas</w:t>
      </w:r>
    </w:p>
    <w:p w14:paraId="4A0E29E0" w14:textId="2E0E8F03" w:rsidR="002041E8" w:rsidRPr="002910FC" w:rsidRDefault="002041E8" w:rsidP="002910FC">
      <w:pPr>
        <w:pStyle w:val="ListParagraph"/>
        <w:numPr>
          <w:ilvl w:val="0"/>
          <w:numId w:val="10"/>
        </w:numPr>
        <w:spacing w:after="160" w:line="259" w:lineRule="auto"/>
        <w:rPr>
          <w:rFonts w:ascii="acumin-pro" w:hAnsi="acumin-pro"/>
          <w:color w:val="000000"/>
        </w:rPr>
      </w:pPr>
      <w:r>
        <w:rPr>
          <w:rFonts w:ascii="acumin-pro" w:hAnsi="acumin-pro"/>
          <w:color w:val="000000"/>
        </w:rPr>
        <w:t>Common Career Technical Core Examples: Hospitality &amp; Tourism; Law, Public Safety, Corrections, and Security; and Agriculture, Food, &amp; Natural Resources</w:t>
      </w:r>
    </w:p>
    <w:p w14:paraId="51EDF022" w14:textId="77777777" w:rsidR="006661F6" w:rsidRPr="00757972" w:rsidRDefault="006661F6" w:rsidP="006661F6">
      <w:pPr>
        <w:pStyle w:val="ListParagraph"/>
        <w:numPr>
          <w:ilvl w:val="0"/>
          <w:numId w:val="10"/>
        </w:numPr>
        <w:spacing w:after="160" w:line="259" w:lineRule="auto"/>
        <w:rPr>
          <w:rFonts w:ascii="acumin-pro" w:hAnsi="acumin-pro"/>
          <w:color w:val="000000"/>
        </w:rPr>
      </w:pPr>
      <w:r w:rsidRPr="00757972">
        <w:rPr>
          <w:rFonts w:ascii="acumin-pro" w:hAnsi="acumin-pro"/>
          <w:color w:val="000000"/>
        </w:rPr>
        <w:t>How to build global significance into instruction</w:t>
      </w:r>
    </w:p>
    <w:p w14:paraId="30222869" w14:textId="686ED48A" w:rsidR="006661F6" w:rsidRDefault="006661F6" w:rsidP="006661F6">
      <w:pPr>
        <w:pStyle w:val="ListParagraph"/>
        <w:numPr>
          <w:ilvl w:val="0"/>
          <w:numId w:val="10"/>
        </w:numPr>
        <w:spacing w:after="160" w:line="259" w:lineRule="auto"/>
        <w:rPr>
          <w:rFonts w:ascii="acumin-pro" w:hAnsi="acumin-pro"/>
          <w:color w:val="000000"/>
        </w:rPr>
      </w:pPr>
      <w:r w:rsidRPr="00757972">
        <w:rPr>
          <w:rFonts w:ascii="acumin-pro" w:hAnsi="acumin-pro"/>
          <w:color w:val="000000"/>
        </w:rPr>
        <w:t>Faculty Reflection on Course Materials (included in this packet for note taking)</w:t>
      </w:r>
    </w:p>
    <w:p w14:paraId="7EDCAAB0" w14:textId="0801D2D6" w:rsidR="002041E8" w:rsidRDefault="002041E8" w:rsidP="002041E8">
      <w:pPr>
        <w:spacing w:after="160" w:line="259" w:lineRule="auto"/>
        <w:rPr>
          <w:rFonts w:ascii="acumin-pro" w:hAnsi="acumin-pro"/>
          <w:color w:val="000000"/>
        </w:rPr>
      </w:pPr>
    </w:p>
    <w:p w14:paraId="49021D74" w14:textId="7130D071" w:rsidR="002041E8" w:rsidRDefault="002041E8">
      <w:pPr>
        <w:rPr>
          <w:rFonts w:ascii="acumin-pro" w:hAnsi="acumin-pro"/>
          <w:color w:val="000000"/>
        </w:rPr>
      </w:pPr>
      <w:r>
        <w:rPr>
          <w:rFonts w:ascii="acumin-pro" w:hAnsi="acumin-pro"/>
          <w:color w:val="000000"/>
        </w:rPr>
        <w:br w:type="page"/>
      </w:r>
    </w:p>
    <w:p w14:paraId="78B96F11" w14:textId="3298C23E" w:rsidR="002041E8" w:rsidRPr="002041E8" w:rsidRDefault="002041E8" w:rsidP="002041E8">
      <w:pPr>
        <w:spacing w:after="160" w:line="259" w:lineRule="auto"/>
        <w:rPr>
          <w:rFonts w:ascii="acumin-pro" w:hAnsi="acumin-pro"/>
          <w:b/>
          <w:bCs/>
          <w:color w:val="000000"/>
        </w:rPr>
      </w:pPr>
      <w:r w:rsidRPr="00AA244B">
        <w:rPr>
          <w:noProof/>
          <w:sz w:val="28"/>
        </w:rPr>
        <w:lastRenderedPageBreak/>
        <mc:AlternateContent>
          <mc:Choice Requires="wps">
            <w:drawing>
              <wp:anchor distT="0" distB="0" distL="114300" distR="114300" simplePos="0" relativeHeight="251659264" behindDoc="0" locked="0" layoutInCell="1" allowOverlap="1" wp14:anchorId="30C383A3" wp14:editId="29608304">
                <wp:simplePos x="0" y="0"/>
                <wp:positionH relativeFrom="margin">
                  <wp:align>center</wp:align>
                </wp:positionH>
                <wp:positionV relativeFrom="paragraph">
                  <wp:posOffset>-544830</wp:posOffset>
                </wp:positionV>
                <wp:extent cx="7269480" cy="9311640"/>
                <wp:effectExtent l="19050" t="19050" r="26670" b="22860"/>
                <wp:wrapNone/>
                <wp:docPr id="1" name="Rectangle 1"/>
                <wp:cNvGraphicFramePr/>
                <a:graphic xmlns:a="http://schemas.openxmlformats.org/drawingml/2006/main">
                  <a:graphicData uri="http://schemas.microsoft.com/office/word/2010/wordprocessingShape">
                    <wps:wsp>
                      <wps:cNvSpPr/>
                      <wps:spPr>
                        <a:xfrm>
                          <a:off x="0" y="0"/>
                          <a:ext cx="7269480" cy="9311640"/>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3A961"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383A3" id="Rectangle 1" o:spid="_x0000_s1030" style="position:absolute;margin-left:0;margin-top:-42.9pt;width:572.4pt;height:733.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OMmAIAAKMFAAAOAAAAZHJzL2Uyb0RvYy54bWysVN9P2zAQfp+0/8Hy+0hSCpSKFFUgpkkM&#10;EDDx7Do2seT4PNtt0v31Oztp2rE+TXtJ7Pv13X2+u6vrrtFkI5xXYEpanOSUCMOhUua9pD9e777M&#10;KPGBmYppMKKkW+Hp9eLzp6vWzsUEatCVcASDGD9vbUnrEOw8yzyvRcP8CVhhUCnBNSzg1b1nlWMt&#10;Rm90Nsnz86wFV1kHXHiP0tteSRcpvpSCh0cpvQhElxRzC+nr0ncVv9niis3fHbO14kMa7B+yaJgy&#10;CDqGumWBkbVTf4VqFHfgQYYTDk0GUiouUg1YTZF/qOalZlakWpAcb0ea/P8Lyx82L/bJIQ2t9XOP&#10;x1hFJ10T/5gf6RJZ25Es0QXCUXgxOb+czpBTjrrL06I4nyY6s727dT58FdCQeCipw9dIJLHNvQ8I&#10;iaY7k4hm4E5pnV5EG9KW9HRW5Hny8KBVFbXRLjWHuNGObBg+K+NcmFAkO71uvkPVyy/OcvTuYUaX&#10;BHoQDVPQBoX76tMpbLWIUNo8C0lUhfVO+kRiYx7H9jWrRA8dkY9Dp4AxssRixth98mOSf9bVVzDY&#10;R1eR+np0Hhg6nljvPHokZDBhdG6UAXesMo2MDsi9/Y6knprIUuhWHXJT0mm0jJIVVNsnRxz0c+Yt&#10;v1P49PfMhyfmcLCwXXBZhEf8SA34xDCcKKnB/Tomj/bY76ilpMVBLan/uWZOUKK/GZyEy2KKjUdC&#10;ukzPLiZ4cYea1aHGrJsbwKYpcC1Zno7RPujdUTpo3nCnLCMqqpjhiF1SHtzuchP6BYJbiYvlMpnh&#10;NFsW7s2L5TF45Dm29mv3xpwd+j/g6DzAbqjZ/MMY9LbR08ByHUCqNCN7XocXwE2QunjYWnHVHN6T&#10;1X63Ln4DAAD//wMAUEsDBBQABgAIAAAAIQBG5RIf3wAAAAoBAAAPAAAAZHJzL2Rvd25yZXYueG1s&#10;TI/BbsIwEETvlfoP1lbqpQKbElCUxkEoEr1wQIV+wCbeJimxHcUG0r/vcmpvs5rR7Lx8M9leXGkM&#10;nXcaFnMFglztTecaDZ+n3SwFESI6g713pOGHAmyKx4ccM+Nv7oOux9gILnEhQw1tjEMmZahbshjm&#10;fiDH3pcfLUY+x0aaEW9cbnv5qtRaWuwcf2hxoLKl+ny8WA1+ed5PL5Xd4/cu2VpVHt5P5UHr56dp&#10;+wYi0hT/wnCfz9Oh4E2VvzgTRK+BQaKGWbpigLu9SBJWFatlqtYgi1z+Ryh+AQAA//8DAFBLAQIt&#10;ABQABgAIAAAAIQC2gziS/gAAAOEBAAATAAAAAAAAAAAAAAAAAAAAAABbQ29udGVudF9UeXBlc10u&#10;eG1sUEsBAi0AFAAGAAgAAAAhADj9If/WAAAAlAEAAAsAAAAAAAAAAAAAAAAALwEAAF9yZWxzLy5y&#10;ZWxzUEsBAi0AFAAGAAgAAAAhAH3lM4yYAgAAowUAAA4AAAAAAAAAAAAAAAAALgIAAGRycy9lMm9E&#10;b2MueG1sUEsBAi0AFAAGAAgAAAAhAEblEh/fAAAACgEAAA8AAAAAAAAAAAAAAAAA8gQAAGRycy9k&#10;b3ducmV2LnhtbFBLBQYAAAAABAAEAPMAAAD+BQAAAAA=&#10;" filled="f" strokecolor="#2f5496 [2404]" strokeweight="3pt">
                <v:textbox>
                  <w:txbxContent>
                    <w:p w14:paraId="6F23A961" w14:textId="77777777" w:rsidR="00956FEA" w:rsidRDefault="00956FEA" w:rsidP="00956FEA"/>
                  </w:txbxContent>
                </v:textbox>
                <w10:wrap anchorx="margin"/>
              </v:rect>
            </w:pict>
          </mc:Fallback>
        </mc:AlternateContent>
      </w:r>
      <w:r w:rsidRPr="002041E8">
        <w:rPr>
          <w:rFonts w:ascii="acumin-pro" w:hAnsi="acumin-pro"/>
          <w:b/>
          <w:bCs/>
          <w:color w:val="000000"/>
        </w:rPr>
        <w:t>Business Speakers Profiles</w:t>
      </w:r>
    </w:p>
    <w:p w14:paraId="40ECD9FC" w14:textId="68AB9143" w:rsidR="002041E8" w:rsidRDefault="002041E8" w:rsidP="002041E8">
      <w:pPr>
        <w:spacing w:after="160" w:line="259" w:lineRule="auto"/>
        <w:rPr>
          <w:rFonts w:ascii="acumin-pro" w:hAnsi="acumin-pro"/>
          <w:color w:val="000000"/>
        </w:rPr>
      </w:pPr>
      <w:r>
        <w:rPr>
          <w:rFonts w:ascii="acumin-pro" w:hAnsi="acumin-pro"/>
          <w:color w:val="000000"/>
        </w:rPr>
        <w:t xml:space="preserve">Things to think about . . . </w:t>
      </w:r>
    </w:p>
    <w:p w14:paraId="2F8FD17D" w14:textId="4E1C6698" w:rsidR="002041E8" w:rsidRDefault="002041E8" w:rsidP="002041E8">
      <w:pPr>
        <w:spacing w:after="160" w:line="259" w:lineRule="auto"/>
        <w:rPr>
          <w:rFonts w:ascii="acumin-pro" w:hAnsi="acumin-pro"/>
          <w:color w:val="000000"/>
        </w:rPr>
      </w:pPr>
      <w:r w:rsidRPr="002041E8">
        <w:rPr>
          <w:rFonts w:ascii="acumin-pro" w:hAnsi="acumin-pro"/>
          <w:noProof/>
          <w:color w:val="000000"/>
        </w:rPr>
        <mc:AlternateContent>
          <mc:Choice Requires="wps">
            <w:drawing>
              <wp:anchor distT="45720" distB="45720" distL="114300" distR="114300" simplePos="0" relativeHeight="251670528" behindDoc="0" locked="0" layoutInCell="1" allowOverlap="1" wp14:anchorId="203CB200" wp14:editId="51834424">
                <wp:simplePos x="0" y="0"/>
                <wp:positionH relativeFrom="margin">
                  <wp:align>right</wp:align>
                </wp:positionH>
                <wp:positionV relativeFrom="paragraph">
                  <wp:posOffset>394335</wp:posOffset>
                </wp:positionV>
                <wp:extent cx="5928360" cy="13792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79220"/>
                        </a:xfrm>
                        <a:prstGeom prst="rect">
                          <a:avLst/>
                        </a:prstGeom>
                        <a:solidFill>
                          <a:srgbClr val="FFFFFF"/>
                        </a:solidFill>
                        <a:ln w="9525">
                          <a:solidFill>
                            <a:srgbClr val="000000"/>
                          </a:solidFill>
                          <a:miter lim="800000"/>
                          <a:headEnd/>
                          <a:tailEnd/>
                        </a:ln>
                      </wps:spPr>
                      <wps:txbx>
                        <w:txbxContent>
                          <w:p w14:paraId="1E1407C6" w14:textId="62FA69E2" w:rsidR="002041E8" w:rsidRDefault="00204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CB200" id="Text Box 2" o:spid="_x0000_s1031" type="#_x0000_t202" style="position:absolute;margin-left:415.6pt;margin-top:31.05pt;width:466.8pt;height:108.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jPFgIAACcEAAAOAAAAZHJzL2Uyb0RvYy54bWysk99v2yAQx98n7X9AvC9O3KRNrDhVly7T&#10;pO6H1O0PwBjHaJhjB4md/fU7SJpG3fYyjQfEcfDl7nPH8nboDNsr9BpsySejMWfKSqi13Zb829fN&#10;mzlnPghbCwNWlfygPL9dvX617F2hcmjB1AoZiVhf9K7kbQiuyDIvW9UJPwKnLDkbwE4EMnGb1Sh6&#10;Uu9Mlo/H11kPWDsEqbyn3fujk6+SftMoGT43jVeBmZJTbCHNmOYqztlqKYotCtdqeQpD/EMUndCW&#10;Hj1L3Ysg2A71b1KdlggemjCS0GXQNFqqlANlMxm/yOaxFU6lXAiOd2dM/v/Jyk/7R/cFWRjewkAF&#10;TEl49wDyu2cW1q2wW3WHCH2rRE0PTyKyrHe+OF2NqH3ho0jVf4Saiix2AZLQ0GAXqVCejNSpAIcz&#10;dDUEJmlztsjnV9fkkuSbXN0s8jyVJRPF03WHPrxX0LG4KDlSVZO82D/4EMMRxdOR+JoHo+uNNiYZ&#10;uK3WBtleUAds0kgZvDhmLOtLvpjlsyOBv0qM0/iTRKcDtbLRXcnn50OiiNze2To1WhDaHNcUsrEn&#10;kJHdkWIYqoHpmqDEByLXCuoDkUU4di79NFq0gD8566lrS+5/7AQqzswHS9VZTKbT2ObJmM5uCCXD&#10;S0916RFWklTJA2fH5TqkrxG5WbijKjY68X2O5BQydWPCfvo5sd0v7XTq+X+vfgEAAP//AwBQSwME&#10;FAAGAAgAAAAhAOYX/ebeAAAABwEAAA8AAABkcnMvZG93bnJldi54bWxMj8FOwzAQRO9I/IO1SFwQ&#10;dZqgtAnZVAgJBLdSEFzdeJtExOtgu2n4e8wJjqMZzbypNrMZxETO95YRlosEBHFjdc8twtvrw/Ua&#10;hA+KtRosE8I3edjU52eVKrU98QtNu9CKWMK+VAhdCGMppW86Msov7EgcvYN1RoUoXSu1U6dYbgaZ&#10;Jkkujeo5LnRqpPuOms/d0SCsb56mD/+cbd+b/DAU4Wo1PX45xMuL+e4WRKA5/IXhFz+iQx2Z9vbI&#10;2osBIR4JCHm6BBHdIstyEHuEdFVkIOtK/uevfwAAAP//AwBQSwECLQAUAAYACAAAACEAtoM4kv4A&#10;AADhAQAAEwAAAAAAAAAAAAAAAAAAAAAAW0NvbnRlbnRfVHlwZXNdLnhtbFBLAQItABQABgAIAAAA&#10;IQA4/SH/1gAAAJQBAAALAAAAAAAAAAAAAAAAAC8BAABfcmVscy8ucmVsc1BLAQItABQABgAIAAAA&#10;IQDh7kjPFgIAACcEAAAOAAAAAAAAAAAAAAAAAC4CAABkcnMvZTJvRG9jLnhtbFBLAQItABQABgAI&#10;AAAAIQDmF/3m3gAAAAcBAAAPAAAAAAAAAAAAAAAAAHAEAABkcnMvZG93bnJldi54bWxQSwUGAAAA&#10;AAQABADzAAAAewUAAAAA&#10;">
                <v:textbox>
                  <w:txbxContent>
                    <w:p w14:paraId="1E1407C6" w14:textId="62FA69E2" w:rsidR="002041E8" w:rsidRDefault="002041E8"/>
                  </w:txbxContent>
                </v:textbox>
                <w10:wrap type="square" anchorx="margin"/>
              </v:shape>
            </w:pict>
          </mc:Fallback>
        </mc:AlternateContent>
      </w:r>
      <w:r w:rsidRPr="002041E8">
        <w:rPr>
          <w:rFonts w:ascii="acumin-pro" w:hAnsi="acumin-pro"/>
          <w:color w:val="000000"/>
        </w:rPr>
        <w:t>Does someone say something you haven’t thought about before?</w:t>
      </w:r>
    </w:p>
    <w:p w14:paraId="6F34A97A" w14:textId="2D9C843D" w:rsidR="002041E8" w:rsidRDefault="002041E8" w:rsidP="002041E8">
      <w:pPr>
        <w:spacing w:after="160" w:line="259" w:lineRule="auto"/>
        <w:rPr>
          <w:rFonts w:ascii="acumin-pro" w:hAnsi="acumin-pro"/>
          <w:color w:val="000000"/>
        </w:rPr>
      </w:pPr>
    </w:p>
    <w:p w14:paraId="3B648027" w14:textId="2A4BC3AE" w:rsidR="002041E8" w:rsidRDefault="002041E8" w:rsidP="002041E8">
      <w:pPr>
        <w:spacing w:after="160" w:line="259" w:lineRule="auto"/>
        <w:rPr>
          <w:rFonts w:ascii="acumin-pro" w:hAnsi="acumin-pro"/>
          <w:color w:val="000000"/>
        </w:rPr>
      </w:pPr>
      <w:r w:rsidRPr="002041E8">
        <w:rPr>
          <w:rFonts w:ascii="acumin-pro" w:hAnsi="acumin-pro"/>
          <w:noProof/>
          <w:color w:val="000000"/>
        </w:rPr>
        <mc:AlternateContent>
          <mc:Choice Requires="wps">
            <w:drawing>
              <wp:anchor distT="45720" distB="45720" distL="114300" distR="114300" simplePos="0" relativeHeight="251672576" behindDoc="0" locked="0" layoutInCell="1" allowOverlap="1" wp14:anchorId="189CC4F1" wp14:editId="6F737A34">
                <wp:simplePos x="0" y="0"/>
                <wp:positionH relativeFrom="margin">
                  <wp:align>right</wp:align>
                </wp:positionH>
                <wp:positionV relativeFrom="paragraph">
                  <wp:posOffset>548005</wp:posOffset>
                </wp:positionV>
                <wp:extent cx="5928360" cy="13792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79220"/>
                        </a:xfrm>
                        <a:prstGeom prst="rect">
                          <a:avLst/>
                        </a:prstGeom>
                        <a:solidFill>
                          <a:srgbClr val="FFFFFF"/>
                        </a:solidFill>
                        <a:ln w="9525">
                          <a:solidFill>
                            <a:srgbClr val="000000"/>
                          </a:solidFill>
                          <a:miter lim="800000"/>
                          <a:headEnd/>
                          <a:tailEnd/>
                        </a:ln>
                      </wps:spPr>
                      <wps:txbx>
                        <w:txbxContent>
                          <w:p w14:paraId="43BC6B07" w14:textId="77777777" w:rsidR="002041E8" w:rsidRDefault="002041E8" w:rsidP="00204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C4F1" id="_x0000_s1032" type="#_x0000_t202" style="position:absolute;margin-left:415.6pt;margin-top:43.15pt;width:466.8pt;height:108.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oOFwIAACcEAAAOAAAAZHJzL2Uyb0RvYy54bWysk99v2yAQx98n7X9AvC9O3CRNrDhVly7T&#10;pO6H1O0PwBjHaJhjB4nd/fU7SJpG3fYyjQfEcfDl7nPH6mboDDso9BpsySejMWfKSqi13ZX829ft&#10;mwVnPghbCwNWlfxReX6zfv1q1btC5dCCqRUyErG+6F3J2xBckWVetqoTfgROWXI2gJ0IZOIuq1H0&#10;pN6ZLB+P51kPWDsEqbyn3bujk6+TftMoGT43jVeBmZJTbCHNmOYqztl6JYodCtdqeQpD/EMUndCW&#10;Hj1L3Ykg2B71b1KdlggemjCS0GXQNFqqlANlMxm/yOahFU6lXAiOd2dM/v/Jyk+HB/cFWRjewkAF&#10;TEl4dw/yu2cWNq2wO3WLCH2rRE0PTyKyrHe+OF2NqH3ho0jVf4Saiiz2AZLQ0GAXqVCejNSpAI9n&#10;6GoITNLmbJkvrubkkuSbXF0v8zyVJRPF03WHPrxX0LG4KDlSVZO8ONz7EMMRxdOR+JoHo+utNiYZ&#10;uKs2BtlBUAds00gZvDhmLOtLvpzlsyOBv0qM0/iTRKcDtbLRXckX50OiiNze2To1WhDaHNcUsrEn&#10;kJHdkWIYqoHpuuTz+EDkWkH9SGQRjp1LP40WLeBPznrq2pL7H3uBijPzwVJ1lpPpNLZ5Mqaza0LJ&#10;8NJTXXqElSRV8sDZcbkJ6WtEbhZuqYqNTnyfIzmFTN2YsJ9+Tmz3Szudev7f618AAAD//wMAUEsD&#10;BBQABgAIAAAAIQBb40a23QAAAAcBAAAPAAAAZHJzL2Rvd25yZXYueG1sTI/BTsMwEETvSPyDtUhc&#10;UOuAIbQhToWQQPQGLYKrG2+TCHsdYjcNf89yguNqRm/elqvJOzHiELtAGi7nGQikOtiOGg1v28fZ&#10;AkRMhqxxgVDDN0ZYVacnpSlsONIrjpvUCIZQLIyGNqW+kDLWLXoT56FH4mwfBm8Sn0Mj7WCODPdO&#10;XmVZLr3piBda0+NDi/Xn5uA1LK6fx4+4Vi/vdb53y3RxOz59DVqfn033dyASTumvDL/6rA4VO+3C&#10;gWwUTgM/kpiUKxCcLpXKQew0qEzdgKxK+d+/+gEAAP//AwBQSwECLQAUAAYACAAAACEAtoM4kv4A&#10;AADhAQAAEwAAAAAAAAAAAAAAAAAAAAAAW0NvbnRlbnRfVHlwZXNdLnhtbFBLAQItABQABgAIAAAA&#10;IQA4/SH/1gAAAJQBAAALAAAAAAAAAAAAAAAAAC8BAABfcmVscy8ucmVsc1BLAQItABQABgAIAAAA&#10;IQDWMIoOFwIAACcEAAAOAAAAAAAAAAAAAAAAAC4CAABkcnMvZTJvRG9jLnhtbFBLAQItABQABgAI&#10;AAAAIQBb40a23QAAAAcBAAAPAAAAAAAAAAAAAAAAAHEEAABkcnMvZG93bnJldi54bWxQSwUGAAAA&#10;AAQABADzAAAAewUAAAAA&#10;">
                <v:textbox>
                  <w:txbxContent>
                    <w:p w14:paraId="43BC6B07" w14:textId="77777777" w:rsidR="002041E8" w:rsidRDefault="002041E8" w:rsidP="002041E8"/>
                  </w:txbxContent>
                </v:textbox>
                <w10:wrap type="square" anchorx="margin"/>
              </v:shape>
            </w:pict>
          </mc:Fallback>
        </mc:AlternateContent>
      </w:r>
      <w:r w:rsidRPr="002041E8">
        <w:rPr>
          <w:rFonts w:ascii="acumin-pro" w:hAnsi="acumin-pro"/>
          <w:color w:val="000000"/>
        </w:rPr>
        <w:t xml:space="preserve">What are the connections you can make between their global perspectives and experiences, and your own field/CTE subject area?  </w:t>
      </w:r>
    </w:p>
    <w:p w14:paraId="630BD6FD" w14:textId="00B65B84" w:rsidR="002041E8" w:rsidRPr="002041E8" w:rsidRDefault="002041E8" w:rsidP="002041E8">
      <w:pPr>
        <w:spacing w:after="160" w:line="259" w:lineRule="auto"/>
        <w:rPr>
          <w:rFonts w:ascii="acumin-pro" w:hAnsi="acumin-pro"/>
          <w:color w:val="000000"/>
        </w:rPr>
      </w:pPr>
    </w:p>
    <w:p w14:paraId="1995268C" w14:textId="1B19A82F" w:rsidR="002041E8" w:rsidRPr="002041E8" w:rsidRDefault="002041E8" w:rsidP="002041E8">
      <w:pPr>
        <w:spacing w:after="160" w:line="259" w:lineRule="auto"/>
        <w:rPr>
          <w:rFonts w:ascii="acumin-pro" w:hAnsi="acumin-pro"/>
          <w:color w:val="000000"/>
        </w:rPr>
      </w:pPr>
      <w:r w:rsidRPr="002041E8">
        <w:rPr>
          <w:rFonts w:ascii="acumin-pro" w:hAnsi="acumin-pro"/>
          <w:noProof/>
          <w:color w:val="000000"/>
        </w:rPr>
        <mc:AlternateContent>
          <mc:Choice Requires="wps">
            <w:drawing>
              <wp:anchor distT="45720" distB="45720" distL="114300" distR="114300" simplePos="0" relativeHeight="251674624" behindDoc="0" locked="0" layoutInCell="1" allowOverlap="1" wp14:anchorId="3B31439A" wp14:editId="1829349E">
                <wp:simplePos x="0" y="0"/>
                <wp:positionH relativeFrom="margin">
                  <wp:posOffset>-22860</wp:posOffset>
                </wp:positionH>
                <wp:positionV relativeFrom="paragraph">
                  <wp:posOffset>384810</wp:posOffset>
                </wp:positionV>
                <wp:extent cx="5928360" cy="1379220"/>
                <wp:effectExtent l="0" t="0" r="1524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79220"/>
                        </a:xfrm>
                        <a:prstGeom prst="rect">
                          <a:avLst/>
                        </a:prstGeom>
                        <a:solidFill>
                          <a:srgbClr val="FFFFFF"/>
                        </a:solidFill>
                        <a:ln w="9525">
                          <a:solidFill>
                            <a:srgbClr val="000000"/>
                          </a:solidFill>
                          <a:miter lim="800000"/>
                          <a:headEnd/>
                          <a:tailEnd/>
                        </a:ln>
                      </wps:spPr>
                      <wps:txbx>
                        <w:txbxContent>
                          <w:p w14:paraId="717765E7" w14:textId="77777777" w:rsidR="002041E8" w:rsidRDefault="002041E8" w:rsidP="00204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439A" id="_x0000_s1033" type="#_x0000_t202" style="position:absolute;margin-left:-1.8pt;margin-top:30.3pt;width:466.8pt;height:108.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4FwIAACcEAAAOAAAAZHJzL2Uyb0RvYy54bWysk99v2yAQx98n7X9AvC9O3KRNrDhVly7T&#10;pO6H1O0PwBjHaJhjB4md/fU7SJpG3fYyjQfEcfDl7nPH8nboDNsr9BpsySejMWfKSqi13Zb829fN&#10;mzlnPghbCwNWlfygPL9dvX617F2hcmjB1AoZiVhf9K7kbQiuyDIvW9UJPwKnLDkbwE4EMnGb1Sh6&#10;Uu9Mlo/H11kPWDsEqbyn3fujk6+SftMoGT43jVeBmZJTbCHNmOYqztlqKYotCtdqeQpD/EMUndCW&#10;Hj1L3Ysg2A71b1KdlggemjCS0GXQNFqqlANlMxm/yOaxFU6lXAiOd2dM/v/Jyk/7R/cFWRjewkAF&#10;TEl49wDyu2cW1q2wW3WHCH2rRE0PTyKyrHe+OF2NqH3ho0jVf4Saiix2AZLQ0GAXqVCejNSpAIcz&#10;dDUEJmlztsjnV9fkkuSbXN0s8jyVJRPF03WHPrxX0LG4KDlSVZO82D/4EMMRxdOR+JoHo+uNNiYZ&#10;uK3WBtleUAds0kgZvDhmLOtLvpjlsyOBv0qM0/iTRKcDtbLRXcnn50OiiNze2To1WhDaHNcUsrEn&#10;kJHdkWIYqoHpuuQ38YHItYL6QGQRjp1LP40WLeBPznrq2pL7HzuBijPzwVJ1FpPpNLZ5MqazG0LJ&#10;8NJTXXqElSRV8sDZcbkO6WtEbhbuqIqNTnyfIzmFTN2YsJ9+Tmz3Szudev7fq18AAAD//wMAUEsD&#10;BBQABgAIAAAAIQAqZF3x3wAAAAkBAAAPAAAAZHJzL2Rvd25yZXYueG1sTI/BTsMwEETvSPyDtUhc&#10;UGvToCQNcSqEBIJbKQiubuwmEfY62G4a/p7lBKfVaEazb+rN7CybTIiDRwnXSwHMYOv1gJ2Et9eH&#10;RQksJoVaWY9GwreJsGnOz2pVaX/CFzPtUseoBGOlJPQpjRXnse2NU3HpR4PkHXxwKpEMHddBnajc&#10;Wb4SIudODUgfejWa+960n7ujk1DePE0f8Tnbvrf5wa7TVTE9fgUpLy/mu1tgyczpLwy/+IQODTHt&#10;/RF1ZFbCIsspKSEXdMlfZ4K27SWsiqIE3tT8/4LmBwAA//8DAFBLAQItABQABgAIAAAAIQC2gziS&#10;/gAAAOEBAAATAAAAAAAAAAAAAAAAAAAAAABbQ29udGVudF9UeXBlc10ueG1sUEsBAi0AFAAGAAgA&#10;AAAhADj9If/WAAAAlAEAAAsAAAAAAAAAAAAAAAAALwEAAF9yZWxzLy5yZWxzUEsBAi0AFAAGAAgA&#10;AAAhAASH5PgXAgAAJwQAAA4AAAAAAAAAAAAAAAAALgIAAGRycy9lMm9Eb2MueG1sUEsBAi0AFAAG&#10;AAgAAAAhACpkXfHfAAAACQEAAA8AAAAAAAAAAAAAAAAAcQQAAGRycy9kb3ducmV2LnhtbFBLBQYA&#10;AAAABAAEAPMAAAB9BQAAAAA=&#10;">
                <v:textbox>
                  <w:txbxContent>
                    <w:p w14:paraId="717765E7" w14:textId="77777777" w:rsidR="002041E8" w:rsidRDefault="002041E8" w:rsidP="002041E8"/>
                  </w:txbxContent>
                </v:textbox>
                <w10:wrap type="square" anchorx="margin"/>
              </v:shape>
            </w:pict>
          </mc:Fallback>
        </mc:AlternateContent>
      </w:r>
      <w:r w:rsidRPr="002041E8">
        <w:rPr>
          <w:rFonts w:ascii="acumin-pro" w:hAnsi="acumin-pro"/>
          <w:color w:val="000000"/>
        </w:rPr>
        <w:t>What additional ideas on the significance of global perspectives in CTE come to mind?</w:t>
      </w:r>
    </w:p>
    <w:p w14:paraId="08A7FB57" w14:textId="3622EFAC" w:rsidR="00894481" w:rsidRDefault="00894481" w:rsidP="002041E8">
      <w:pPr>
        <w:spacing w:after="160" w:line="259" w:lineRule="auto"/>
      </w:pPr>
    </w:p>
    <w:p w14:paraId="0106CD6D" w14:textId="77777777" w:rsidR="00956FEA" w:rsidRDefault="00956FEA"/>
    <w:p w14:paraId="5B52A8FA" w14:textId="2555DC8E" w:rsidR="00093241" w:rsidRDefault="005527F4" w:rsidP="005527F4">
      <w:pPr>
        <w:ind w:left="-450" w:hanging="360"/>
        <w:rPr>
          <w:rFonts w:ascii="NewsGoth BT" w:hAnsi="NewsGoth BT" w:cs="NewsGoth BT"/>
          <w:color w:val="000000"/>
          <w:sz w:val="28"/>
        </w:rPr>
      </w:pPr>
      <w:r w:rsidRPr="005527F4">
        <w:rPr>
          <w:rFonts w:ascii="NewsGoth BT" w:hAnsi="NewsGoth BT" w:cs="NewsGoth BT"/>
          <w:color w:val="000000"/>
          <w:sz w:val="28"/>
        </w:rPr>
        <w:t xml:space="preserve"> </w:t>
      </w:r>
    </w:p>
    <w:p w14:paraId="0A3D4EE7" w14:textId="77777777" w:rsidR="00093241" w:rsidRDefault="00093241" w:rsidP="005527F4">
      <w:pPr>
        <w:ind w:left="-450" w:hanging="360"/>
        <w:rPr>
          <w:rFonts w:ascii="NewsGoth BT" w:hAnsi="NewsGoth BT" w:cs="NewsGoth BT"/>
          <w:color w:val="000000"/>
          <w:sz w:val="28"/>
        </w:rPr>
      </w:pPr>
    </w:p>
    <w:p w14:paraId="25F1BDD2" w14:textId="77777777" w:rsidR="002749BB" w:rsidRDefault="002749BB" w:rsidP="002749BB">
      <w:pPr>
        <w:ind w:hanging="360"/>
        <w:rPr>
          <w:rFonts w:ascii="NewsGoth BT" w:hAnsi="NewsGoth BT" w:cs="NewsGoth BT"/>
          <w:color w:val="000000"/>
          <w:sz w:val="28"/>
        </w:rPr>
      </w:pPr>
    </w:p>
    <w:p w14:paraId="4F4FF07A" w14:textId="77777777" w:rsidR="002749BB" w:rsidRDefault="002749BB" w:rsidP="002749BB">
      <w:pPr>
        <w:ind w:hanging="360"/>
        <w:rPr>
          <w:rFonts w:ascii="NewsGoth BT" w:hAnsi="NewsGoth BT" w:cs="NewsGoth BT"/>
          <w:color w:val="000000"/>
          <w:sz w:val="28"/>
        </w:rPr>
      </w:pPr>
    </w:p>
    <w:p w14:paraId="5656F7A6" w14:textId="56CE87FC" w:rsidR="002749BB" w:rsidRPr="002749BB" w:rsidRDefault="002749BB" w:rsidP="002749BB">
      <w:pPr>
        <w:ind w:hanging="360"/>
        <w:rPr>
          <w:rFonts w:asciiTheme="minorHAnsi" w:hAnsiTheme="minorHAnsi" w:cstheme="minorHAnsi"/>
          <w:sz w:val="32"/>
          <w:szCs w:val="32"/>
        </w:rPr>
      </w:pPr>
      <w:r w:rsidRPr="002749BB">
        <w:rPr>
          <w:rFonts w:asciiTheme="minorHAnsi" w:hAnsiTheme="minorHAnsi" w:cstheme="minorHAnsi"/>
          <w:color w:val="000000"/>
          <w:sz w:val="32"/>
          <w:szCs w:val="32"/>
        </w:rPr>
        <w:lastRenderedPageBreak/>
        <w:t>Your next steps are:</w:t>
      </w:r>
    </w:p>
    <w:p w14:paraId="61676EEC" w14:textId="77777777" w:rsidR="002749BB" w:rsidRPr="002749BB" w:rsidRDefault="002749BB" w:rsidP="002749BB">
      <w:pPr>
        <w:autoSpaceDE w:val="0"/>
        <w:autoSpaceDN w:val="0"/>
        <w:adjustRightInd w:val="0"/>
        <w:rPr>
          <w:rFonts w:asciiTheme="minorHAnsi" w:hAnsiTheme="minorHAnsi" w:cstheme="minorHAnsi"/>
          <w:color w:val="000000"/>
          <w:sz w:val="32"/>
          <w:szCs w:val="32"/>
        </w:rPr>
      </w:pPr>
    </w:p>
    <w:p w14:paraId="581748D9" w14:textId="7F94FC0F" w:rsidR="002749BB" w:rsidRPr="002749BB" w:rsidRDefault="002749BB" w:rsidP="002749BB">
      <w:pPr>
        <w:pStyle w:val="ListParagraph"/>
        <w:numPr>
          <w:ilvl w:val="0"/>
          <w:numId w:val="5"/>
        </w:numPr>
        <w:ind w:left="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Review the </w:t>
      </w:r>
      <w:hyperlink r:id="rId9" w:history="1">
        <w:r w:rsidRPr="002749BB">
          <w:rPr>
            <w:rStyle w:val="Hyperlink"/>
            <w:rFonts w:asciiTheme="minorHAnsi" w:hAnsiTheme="minorHAnsi" w:cstheme="minorHAnsi"/>
            <w:sz w:val="32"/>
            <w:szCs w:val="32"/>
          </w:rPr>
          <w:t>global compete</w:t>
        </w:r>
        <w:r w:rsidRPr="002749BB">
          <w:rPr>
            <w:rStyle w:val="Hyperlink"/>
            <w:rFonts w:asciiTheme="minorHAnsi" w:hAnsiTheme="minorHAnsi" w:cstheme="minorHAnsi"/>
            <w:sz w:val="32"/>
            <w:szCs w:val="32"/>
          </w:rPr>
          <w:t>n</w:t>
        </w:r>
        <w:r w:rsidRPr="002749BB">
          <w:rPr>
            <w:rStyle w:val="Hyperlink"/>
            <w:rFonts w:asciiTheme="minorHAnsi" w:hAnsiTheme="minorHAnsi" w:cstheme="minorHAnsi"/>
            <w:sz w:val="32"/>
            <w:szCs w:val="32"/>
          </w:rPr>
          <w:t>ce d</w:t>
        </w:r>
        <w:r w:rsidRPr="002749BB">
          <w:rPr>
            <w:rStyle w:val="Hyperlink"/>
            <w:rFonts w:asciiTheme="minorHAnsi" w:hAnsiTheme="minorHAnsi" w:cstheme="minorHAnsi"/>
            <w:sz w:val="32"/>
            <w:szCs w:val="32"/>
          </w:rPr>
          <w:t>e</w:t>
        </w:r>
        <w:r w:rsidRPr="002749BB">
          <w:rPr>
            <w:rStyle w:val="Hyperlink"/>
            <w:rFonts w:asciiTheme="minorHAnsi" w:hAnsiTheme="minorHAnsi" w:cstheme="minorHAnsi"/>
            <w:sz w:val="32"/>
            <w:szCs w:val="32"/>
          </w:rPr>
          <w:t>finition</w:t>
        </w:r>
      </w:hyperlink>
      <w:r w:rsidRPr="002749BB">
        <w:rPr>
          <w:rFonts w:asciiTheme="minorHAnsi" w:hAnsiTheme="minorHAnsi" w:cstheme="minorHAnsi"/>
          <w:color w:val="000000"/>
          <w:sz w:val="32"/>
          <w:szCs w:val="32"/>
        </w:rPr>
        <w:t xml:space="preserve"> and overview materials from </w:t>
      </w:r>
      <w:r w:rsidR="0012660A">
        <w:rPr>
          <w:rFonts w:asciiTheme="minorHAnsi" w:hAnsiTheme="minorHAnsi" w:cstheme="minorHAnsi"/>
          <w:color w:val="000000"/>
          <w:sz w:val="32"/>
          <w:szCs w:val="32"/>
        </w:rPr>
        <w:t>Digital Promise’s</w:t>
      </w:r>
      <w:r w:rsidRPr="002749BB">
        <w:rPr>
          <w:rFonts w:asciiTheme="minorHAnsi" w:hAnsiTheme="minorHAnsi" w:cstheme="minorHAnsi"/>
          <w:color w:val="000000"/>
          <w:sz w:val="32"/>
          <w:szCs w:val="32"/>
        </w:rPr>
        <w:t xml:space="preserve"> CTE Toolkit.</w:t>
      </w:r>
    </w:p>
    <w:p w14:paraId="10528301" w14:textId="77777777" w:rsidR="002749BB" w:rsidRPr="002749BB" w:rsidRDefault="002749BB" w:rsidP="002749BB">
      <w:pPr>
        <w:pStyle w:val="ListParagraph"/>
        <w:ind w:left="0"/>
        <w:rPr>
          <w:rFonts w:asciiTheme="minorHAnsi" w:hAnsiTheme="minorHAnsi" w:cstheme="minorHAnsi"/>
          <w:color w:val="000000"/>
          <w:sz w:val="32"/>
          <w:szCs w:val="32"/>
        </w:rPr>
      </w:pPr>
    </w:p>
    <w:p w14:paraId="48786C7E" w14:textId="77777777" w:rsidR="002749BB" w:rsidRPr="002749BB" w:rsidRDefault="002749BB" w:rsidP="002749BB">
      <w:pPr>
        <w:widowControl w:val="0"/>
        <w:numPr>
          <w:ilvl w:val="0"/>
          <w:numId w:val="5"/>
        </w:numPr>
        <w:autoSpaceDE w:val="0"/>
        <w:autoSpaceDN w:val="0"/>
        <w:adjustRightInd w:val="0"/>
        <w:ind w:left="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Think about the questions related to the business </w:t>
      </w:r>
      <w:proofErr w:type="gramStart"/>
      <w:r w:rsidRPr="002749BB">
        <w:rPr>
          <w:rFonts w:asciiTheme="minorHAnsi" w:hAnsiTheme="minorHAnsi" w:cstheme="minorHAnsi"/>
          <w:color w:val="000000"/>
          <w:sz w:val="32"/>
          <w:szCs w:val="32"/>
        </w:rPr>
        <w:t>professionals</w:t>
      </w:r>
      <w:proofErr w:type="gramEnd"/>
      <w:r w:rsidRPr="002749BB">
        <w:rPr>
          <w:rFonts w:asciiTheme="minorHAnsi" w:hAnsiTheme="minorHAnsi" w:cstheme="minorHAnsi"/>
          <w:color w:val="000000"/>
          <w:sz w:val="32"/>
          <w:szCs w:val="32"/>
        </w:rPr>
        <w:t xml:space="preserve"> video:</w:t>
      </w:r>
    </w:p>
    <w:p w14:paraId="4EE70147" w14:textId="77777777" w:rsidR="002749BB" w:rsidRPr="002749BB" w:rsidRDefault="002749BB" w:rsidP="002749BB">
      <w:pPr>
        <w:widowControl w:val="0"/>
        <w:numPr>
          <w:ilvl w:val="0"/>
          <w:numId w:val="8"/>
        </w:numPr>
        <w:autoSpaceDE w:val="0"/>
        <w:autoSpaceDN w:val="0"/>
        <w:adjustRightInd w:val="0"/>
        <w:rPr>
          <w:rFonts w:asciiTheme="minorHAnsi" w:hAnsiTheme="minorHAnsi" w:cstheme="minorHAnsi"/>
          <w:color w:val="000000"/>
          <w:sz w:val="32"/>
          <w:szCs w:val="32"/>
        </w:rPr>
      </w:pPr>
      <w:r w:rsidRPr="002749BB">
        <w:rPr>
          <w:rFonts w:asciiTheme="minorHAnsi" w:hAnsiTheme="minorHAnsi" w:cstheme="minorHAnsi"/>
          <w:color w:val="000000"/>
          <w:sz w:val="32"/>
          <w:szCs w:val="32"/>
        </w:rPr>
        <w:t>Did someone say something you haven’t thought about before?</w:t>
      </w:r>
    </w:p>
    <w:p w14:paraId="0F28E307" w14:textId="77777777" w:rsidR="002749BB" w:rsidRPr="002749BB" w:rsidRDefault="002749BB" w:rsidP="002749BB">
      <w:pPr>
        <w:widowControl w:val="0"/>
        <w:numPr>
          <w:ilvl w:val="0"/>
          <w:numId w:val="8"/>
        </w:numPr>
        <w:autoSpaceDE w:val="0"/>
        <w:autoSpaceDN w:val="0"/>
        <w:adjustRightInd w:val="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What are the connections you can make between their global perspectives and experiences, and your own field or subject area?  </w:t>
      </w:r>
    </w:p>
    <w:p w14:paraId="2E9A3C0A" w14:textId="77777777" w:rsidR="002749BB" w:rsidRPr="002749BB" w:rsidRDefault="002749BB" w:rsidP="002749BB">
      <w:pPr>
        <w:widowControl w:val="0"/>
        <w:numPr>
          <w:ilvl w:val="0"/>
          <w:numId w:val="8"/>
        </w:numPr>
        <w:autoSpaceDE w:val="0"/>
        <w:autoSpaceDN w:val="0"/>
        <w:adjustRightInd w:val="0"/>
        <w:rPr>
          <w:rFonts w:asciiTheme="minorHAnsi" w:hAnsiTheme="minorHAnsi" w:cstheme="minorHAnsi"/>
          <w:color w:val="000000"/>
          <w:sz w:val="32"/>
          <w:szCs w:val="32"/>
        </w:rPr>
      </w:pPr>
      <w:r w:rsidRPr="002749BB">
        <w:rPr>
          <w:rFonts w:asciiTheme="minorHAnsi" w:hAnsiTheme="minorHAnsi" w:cstheme="minorHAnsi"/>
          <w:color w:val="000000"/>
          <w:sz w:val="32"/>
          <w:szCs w:val="32"/>
        </w:rPr>
        <w:t>What additional ideas on the significance of global perspectives for the workplace come to mind?</w:t>
      </w:r>
    </w:p>
    <w:p w14:paraId="6DFE23D2" w14:textId="77777777" w:rsidR="002749BB" w:rsidRPr="002749BB" w:rsidRDefault="002749BB" w:rsidP="002749BB">
      <w:pPr>
        <w:widowControl w:val="0"/>
        <w:numPr>
          <w:ilvl w:val="0"/>
          <w:numId w:val="8"/>
        </w:numPr>
        <w:autoSpaceDE w:val="0"/>
        <w:autoSpaceDN w:val="0"/>
        <w:adjustRightInd w:val="0"/>
        <w:rPr>
          <w:rFonts w:asciiTheme="minorHAnsi" w:hAnsiTheme="minorHAnsi" w:cstheme="minorHAnsi"/>
          <w:color w:val="000000"/>
          <w:sz w:val="32"/>
          <w:szCs w:val="32"/>
        </w:rPr>
      </w:pPr>
      <w:r w:rsidRPr="002749BB">
        <w:rPr>
          <w:rFonts w:asciiTheme="minorHAnsi" w:hAnsiTheme="minorHAnsi" w:cstheme="minorHAnsi"/>
          <w:color w:val="000000"/>
          <w:sz w:val="32"/>
          <w:szCs w:val="32"/>
        </w:rPr>
        <w:t>How could global perspectives connect to your content area?</w:t>
      </w:r>
    </w:p>
    <w:p w14:paraId="49B12779" w14:textId="77777777" w:rsidR="002749BB" w:rsidRPr="002749BB" w:rsidRDefault="002749BB" w:rsidP="002749BB">
      <w:pPr>
        <w:widowControl w:val="0"/>
        <w:autoSpaceDE w:val="0"/>
        <w:autoSpaceDN w:val="0"/>
        <w:adjustRightInd w:val="0"/>
        <w:rPr>
          <w:rFonts w:asciiTheme="minorHAnsi" w:hAnsiTheme="minorHAnsi" w:cstheme="minorHAnsi"/>
          <w:color w:val="000000"/>
          <w:sz w:val="32"/>
          <w:szCs w:val="32"/>
        </w:rPr>
      </w:pPr>
    </w:p>
    <w:p w14:paraId="2C443449" w14:textId="3BDB52A4" w:rsidR="002749BB" w:rsidRPr="002749BB" w:rsidRDefault="002749BB" w:rsidP="002749BB">
      <w:pPr>
        <w:widowControl w:val="0"/>
        <w:numPr>
          <w:ilvl w:val="0"/>
          <w:numId w:val="5"/>
        </w:numPr>
        <w:autoSpaceDE w:val="0"/>
        <w:autoSpaceDN w:val="0"/>
        <w:adjustRightInd w:val="0"/>
        <w:ind w:left="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Review the </w:t>
      </w:r>
      <w:hyperlink r:id="rId10" w:history="1">
        <w:r w:rsidRPr="002749BB">
          <w:rPr>
            <w:rStyle w:val="Hyperlink"/>
            <w:rFonts w:asciiTheme="minorHAnsi" w:hAnsiTheme="minorHAnsi" w:cstheme="minorHAnsi"/>
            <w:sz w:val="32"/>
            <w:szCs w:val="32"/>
          </w:rPr>
          <w:t>Global Career Ready Practi</w:t>
        </w:r>
        <w:r w:rsidRPr="002749BB">
          <w:rPr>
            <w:rStyle w:val="Hyperlink"/>
            <w:rFonts w:asciiTheme="minorHAnsi" w:hAnsiTheme="minorHAnsi" w:cstheme="minorHAnsi"/>
            <w:sz w:val="32"/>
            <w:szCs w:val="32"/>
          </w:rPr>
          <w:t>c</w:t>
        </w:r>
        <w:r w:rsidRPr="002749BB">
          <w:rPr>
            <w:rStyle w:val="Hyperlink"/>
            <w:rFonts w:asciiTheme="minorHAnsi" w:hAnsiTheme="minorHAnsi" w:cstheme="minorHAnsi"/>
            <w:sz w:val="32"/>
            <w:szCs w:val="32"/>
          </w:rPr>
          <w:t>es</w:t>
        </w:r>
      </w:hyperlink>
      <w:r w:rsidRPr="002749BB">
        <w:rPr>
          <w:rFonts w:asciiTheme="minorHAnsi" w:hAnsiTheme="minorHAnsi" w:cstheme="minorHAnsi"/>
          <w:color w:val="000000"/>
          <w:sz w:val="32"/>
          <w:szCs w:val="32"/>
        </w:rPr>
        <w:t xml:space="preserve"> and think about how these practices could be taught to illustrate the global nature of employability skills.</w:t>
      </w:r>
    </w:p>
    <w:p w14:paraId="4F969A80" w14:textId="77777777" w:rsidR="002749BB" w:rsidRPr="002749BB" w:rsidRDefault="002749BB" w:rsidP="002749BB">
      <w:pPr>
        <w:widowControl w:val="0"/>
        <w:autoSpaceDE w:val="0"/>
        <w:autoSpaceDN w:val="0"/>
        <w:adjustRightInd w:val="0"/>
        <w:rPr>
          <w:rFonts w:asciiTheme="minorHAnsi" w:hAnsiTheme="minorHAnsi" w:cstheme="minorHAnsi"/>
          <w:color w:val="000000"/>
          <w:sz w:val="32"/>
          <w:szCs w:val="32"/>
        </w:rPr>
      </w:pPr>
    </w:p>
    <w:p w14:paraId="5FB2135D" w14:textId="1F1BDA7F" w:rsidR="002749BB" w:rsidRPr="002749BB" w:rsidRDefault="002749BB" w:rsidP="002749BB">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Review the Common Career Technical Core </w:t>
      </w:r>
      <w:hyperlink r:id="rId11" w:history="1">
        <w:r w:rsidRPr="002749BB">
          <w:rPr>
            <w:rStyle w:val="Hyperlink"/>
            <w:rFonts w:asciiTheme="minorHAnsi" w:hAnsiTheme="minorHAnsi" w:cstheme="minorHAnsi"/>
            <w:sz w:val="32"/>
            <w:szCs w:val="32"/>
          </w:rPr>
          <w:t>global competence crosswalks</w:t>
        </w:r>
      </w:hyperlink>
      <w:r w:rsidRPr="002749BB">
        <w:rPr>
          <w:rFonts w:asciiTheme="minorHAnsi" w:hAnsiTheme="minorHAnsi" w:cstheme="minorHAnsi"/>
          <w:color w:val="000000"/>
          <w:sz w:val="32"/>
          <w:szCs w:val="32"/>
        </w:rPr>
        <w:t xml:space="preserve"> for your content area.</w:t>
      </w:r>
    </w:p>
    <w:p w14:paraId="4D9DC215" w14:textId="77777777" w:rsidR="002749BB" w:rsidRPr="002749BB" w:rsidRDefault="002749BB" w:rsidP="002749BB">
      <w:pPr>
        <w:pStyle w:val="ListParagraph"/>
        <w:ind w:left="0"/>
        <w:rPr>
          <w:rFonts w:asciiTheme="minorHAnsi" w:hAnsiTheme="minorHAnsi" w:cstheme="minorHAnsi"/>
          <w:color w:val="000000"/>
          <w:sz w:val="32"/>
          <w:szCs w:val="32"/>
        </w:rPr>
      </w:pPr>
    </w:p>
    <w:p w14:paraId="382B7DAA" w14:textId="50854FD7" w:rsidR="002749BB" w:rsidRPr="002749BB" w:rsidRDefault="002749BB" w:rsidP="002749BB">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Be sure to check the </w:t>
      </w:r>
      <w:r w:rsidR="0012660A">
        <w:rPr>
          <w:rFonts w:asciiTheme="minorHAnsi" w:hAnsiTheme="minorHAnsi" w:cstheme="minorHAnsi"/>
          <w:color w:val="000000"/>
          <w:sz w:val="32"/>
          <w:szCs w:val="32"/>
        </w:rPr>
        <w:t>Digital Promise</w:t>
      </w:r>
      <w:r w:rsidRPr="002749BB">
        <w:rPr>
          <w:rFonts w:asciiTheme="minorHAnsi" w:hAnsiTheme="minorHAnsi" w:cstheme="minorHAnsi"/>
          <w:color w:val="000000"/>
          <w:sz w:val="32"/>
          <w:szCs w:val="32"/>
        </w:rPr>
        <w:t xml:space="preserve"> Global CTE </w:t>
      </w:r>
      <w:hyperlink r:id="rId12" w:history="1">
        <w:r w:rsidRPr="002749BB">
          <w:rPr>
            <w:rStyle w:val="Hyperlink"/>
            <w:rFonts w:asciiTheme="minorHAnsi" w:hAnsiTheme="minorHAnsi" w:cstheme="minorHAnsi"/>
            <w:sz w:val="32"/>
            <w:szCs w:val="32"/>
          </w:rPr>
          <w:t>Toolkit</w:t>
        </w:r>
      </w:hyperlink>
      <w:r w:rsidRPr="002749BB">
        <w:rPr>
          <w:rFonts w:asciiTheme="minorHAnsi" w:hAnsiTheme="minorHAnsi" w:cstheme="minorHAnsi"/>
          <w:color w:val="000000"/>
          <w:sz w:val="32"/>
          <w:szCs w:val="32"/>
        </w:rPr>
        <w:t xml:space="preserve"> for free tools and resources.</w:t>
      </w:r>
      <w:r w:rsidRPr="002749BB">
        <w:rPr>
          <w:rFonts w:asciiTheme="minorHAnsi" w:hAnsiTheme="minorHAnsi" w:cstheme="minorHAnsi"/>
          <w:sz w:val="32"/>
          <w:szCs w:val="32"/>
        </w:rPr>
        <w:t xml:space="preserve"> </w:t>
      </w:r>
    </w:p>
    <w:p w14:paraId="17E3BE34" w14:textId="77777777" w:rsidR="002749BB" w:rsidRPr="002749BB" w:rsidRDefault="002749BB" w:rsidP="002749BB">
      <w:pPr>
        <w:autoSpaceDE w:val="0"/>
        <w:autoSpaceDN w:val="0"/>
        <w:adjustRightInd w:val="0"/>
        <w:rPr>
          <w:rFonts w:asciiTheme="minorHAnsi" w:hAnsiTheme="minorHAnsi" w:cstheme="minorHAnsi"/>
          <w:sz w:val="32"/>
          <w:szCs w:val="32"/>
        </w:rPr>
      </w:pPr>
    </w:p>
    <w:p w14:paraId="2093ADF9" w14:textId="5C85E65F" w:rsidR="002749BB" w:rsidRPr="002749BB" w:rsidRDefault="002749BB" w:rsidP="002749BB">
      <w:pPr>
        <w:autoSpaceDE w:val="0"/>
        <w:autoSpaceDN w:val="0"/>
        <w:adjustRightInd w:val="0"/>
        <w:ind w:left="-360"/>
        <w:rPr>
          <w:rFonts w:asciiTheme="minorHAnsi" w:hAnsiTheme="minorHAnsi" w:cstheme="minorHAnsi"/>
          <w:color w:val="000000"/>
          <w:sz w:val="32"/>
          <w:szCs w:val="32"/>
        </w:rPr>
      </w:pPr>
      <w:r w:rsidRPr="002749BB">
        <w:rPr>
          <w:rFonts w:asciiTheme="minorHAnsi" w:hAnsiTheme="minorHAnsi" w:cstheme="minorHAnsi"/>
          <w:color w:val="000000"/>
          <w:sz w:val="32"/>
          <w:szCs w:val="32"/>
        </w:rPr>
        <w:t xml:space="preserve">When you have completed these activities, you will be ready for “Faculty Module 2: Developing a High-Quality Internationalized CTE Program.” </w:t>
      </w:r>
    </w:p>
    <w:p w14:paraId="269612E8" w14:textId="77777777" w:rsidR="00484B22" w:rsidRPr="00484B22" w:rsidRDefault="00484B22" w:rsidP="00484B22">
      <w:pPr>
        <w:rPr>
          <w:rFonts w:ascii="NewsGoth BT" w:eastAsiaTheme="minorHAnsi" w:hAnsi="NewsGoth BT" w:cs="NewsGoth BT"/>
          <w:color w:val="000000"/>
          <w:sz w:val="28"/>
        </w:rPr>
      </w:pPr>
    </w:p>
    <w:p w14:paraId="692F746F" w14:textId="77777777" w:rsidR="00484B22" w:rsidRPr="00F472A3" w:rsidRDefault="00484B22" w:rsidP="00F472A3">
      <w:pPr>
        <w:autoSpaceDE w:val="0"/>
        <w:autoSpaceDN w:val="0"/>
        <w:adjustRightInd w:val="0"/>
        <w:rPr>
          <w:rFonts w:ascii="NewsGoth BT" w:hAnsi="NewsGoth BT" w:cs="NewsGoth BT"/>
          <w:color w:val="000000" w:themeColor="text1"/>
          <w:sz w:val="28"/>
        </w:rPr>
      </w:pPr>
    </w:p>
    <w:p w14:paraId="7B82DA52" w14:textId="3800460D" w:rsidR="00F472A3" w:rsidRPr="00AA244B" w:rsidRDefault="00F472A3" w:rsidP="00AA244B">
      <w:pPr>
        <w:autoSpaceDE w:val="0"/>
        <w:autoSpaceDN w:val="0"/>
        <w:adjustRightInd w:val="0"/>
        <w:spacing w:before="6"/>
        <w:rPr>
          <w:rFonts w:ascii="NewsGoth BT" w:hAnsi="NewsGoth BT" w:cs="NewsGoth BT"/>
          <w:color w:val="000000"/>
          <w:sz w:val="28"/>
        </w:rPr>
      </w:pPr>
    </w:p>
    <w:sectPr w:rsidR="00F472A3" w:rsidRPr="00AA244B"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00EF7BE1"/>
    <w:multiLevelType w:val="hybridMultilevel"/>
    <w:tmpl w:val="747669AA"/>
    <w:lvl w:ilvl="0" w:tplc="25EE6FDE">
      <w:start w:val="1"/>
      <w:numFmt w:val="bullet"/>
      <w:lvlText w:val="•"/>
      <w:lvlJc w:val="left"/>
      <w:pPr>
        <w:tabs>
          <w:tab w:val="num" w:pos="720"/>
        </w:tabs>
        <w:ind w:left="720" w:hanging="360"/>
      </w:pPr>
      <w:rPr>
        <w:rFonts w:ascii="Arial" w:hAnsi="Arial" w:hint="default"/>
      </w:rPr>
    </w:lvl>
    <w:lvl w:ilvl="1" w:tplc="262E0E3A" w:tentative="1">
      <w:start w:val="1"/>
      <w:numFmt w:val="bullet"/>
      <w:lvlText w:val="•"/>
      <w:lvlJc w:val="left"/>
      <w:pPr>
        <w:tabs>
          <w:tab w:val="num" w:pos="1440"/>
        </w:tabs>
        <w:ind w:left="1440" w:hanging="360"/>
      </w:pPr>
      <w:rPr>
        <w:rFonts w:ascii="Arial" w:hAnsi="Arial" w:hint="default"/>
      </w:rPr>
    </w:lvl>
    <w:lvl w:ilvl="2" w:tplc="3EC6BC12" w:tentative="1">
      <w:start w:val="1"/>
      <w:numFmt w:val="bullet"/>
      <w:lvlText w:val="•"/>
      <w:lvlJc w:val="left"/>
      <w:pPr>
        <w:tabs>
          <w:tab w:val="num" w:pos="2160"/>
        </w:tabs>
        <w:ind w:left="2160" w:hanging="360"/>
      </w:pPr>
      <w:rPr>
        <w:rFonts w:ascii="Arial" w:hAnsi="Arial" w:hint="default"/>
      </w:rPr>
    </w:lvl>
    <w:lvl w:ilvl="3" w:tplc="7ACEB3DE" w:tentative="1">
      <w:start w:val="1"/>
      <w:numFmt w:val="bullet"/>
      <w:lvlText w:val="•"/>
      <w:lvlJc w:val="left"/>
      <w:pPr>
        <w:tabs>
          <w:tab w:val="num" w:pos="2880"/>
        </w:tabs>
        <w:ind w:left="2880" w:hanging="360"/>
      </w:pPr>
      <w:rPr>
        <w:rFonts w:ascii="Arial" w:hAnsi="Arial" w:hint="default"/>
      </w:rPr>
    </w:lvl>
    <w:lvl w:ilvl="4" w:tplc="C270EE4A" w:tentative="1">
      <w:start w:val="1"/>
      <w:numFmt w:val="bullet"/>
      <w:lvlText w:val="•"/>
      <w:lvlJc w:val="left"/>
      <w:pPr>
        <w:tabs>
          <w:tab w:val="num" w:pos="3600"/>
        </w:tabs>
        <w:ind w:left="3600" w:hanging="360"/>
      </w:pPr>
      <w:rPr>
        <w:rFonts w:ascii="Arial" w:hAnsi="Arial" w:hint="default"/>
      </w:rPr>
    </w:lvl>
    <w:lvl w:ilvl="5" w:tplc="3DFC65E0" w:tentative="1">
      <w:start w:val="1"/>
      <w:numFmt w:val="bullet"/>
      <w:lvlText w:val="•"/>
      <w:lvlJc w:val="left"/>
      <w:pPr>
        <w:tabs>
          <w:tab w:val="num" w:pos="4320"/>
        </w:tabs>
        <w:ind w:left="4320" w:hanging="360"/>
      </w:pPr>
      <w:rPr>
        <w:rFonts w:ascii="Arial" w:hAnsi="Arial" w:hint="default"/>
      </w:rPr>
    </w:lvl>
    <w:lvl w:ilvl="6" w:tplc="AACA7A30" w:tentative="1">
      <w:start w:val="1"/>
      <w:numFmt w:val="bullet"/>
      <w:lvlText w:val="•"/>
      <w:lvlJc w:val="left"/>
      <w:pPr>
        <w:tabs>
          <w:tab w:val="num" w:pos="5040"/>
        </w:tabs>
        <w:ind w:left="5040" w:hanging="360"/>
      </w:pPr>
      <w:rPr>
        <w:rFonts w:ascii="Arial" w:hAnsi="Arial" w:hint="default"/>
      </w:rPr>
    </w:lvl>
    <w:lvl w:ilvl="7" w:tplc="0360C0B6" w:tentative="1">
      <w:start w:val="1"/>
      <w:numFmt w:val="bullet"/>
      <w:lvlText w:val="•"/>
      <w:lvlJc w:val="left"/>
      <w:pPr>
        <w:tabs>
          <w:tab w:val="num" w:pos="5760"/>
        </w:tabs>
        <w:ind w:left="5760" w:hanging="360"/>
      </w:pPr>
      <w:rPr>
        <w:rFonts w:ascii="Arial" w:hAnsi="Arial" w:hint="default"/>
      </w:rPr>
    </w:lvl>
    <w:lvl w:ilvl="8" w:tplc="C0E6E4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9099E"/>
    <w:multiLevelType w:val="multilevel"/>
    <w:tmpl w:val="4AFAC4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C35E30"/>
    <w:multiLevelType w:val="hybridMultilevel"/>
    <w:tmpl w:val="59FC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514659">
    <w:abstractNumId w:val="0"/>
    <w:lvlOverride w:ilvl="0">
      <w:lvl w:ilvl="0">
        <w:numFmt w:val="bullet"/>
        <w:lvlText w:val=""/>
        <w:legacy w:legacy="1" w:legacySpace="0" w:legacyIndent="140"/>
        <w:lvlJc w:val="left"/>
        <w:rPr>
          <w:rFonts w:ascii="Symbol" w:hAnsi="Symbol" w:hint="default"/>
        </w:rPr>
      </w:lvl>
    </w:lvlOverride>
  </w:num>
  <w:num w:numId="2" w16cid:durableId="148836030">
    <w:abstractNumId w:val="6"/>
  </w:num>
  <w:num w:numId="3" w16cid:durableId="171066885">
    <w:abstractNumId w:val="8"/>
  </w:num>
  <w:num w:numId="4" w16cid:durableId="73164080">
    <w:abstractNumId w:val="10"/>
  </w:num>
  <w:num w:numId="5" w16cid:durableId="350108704">
    <w:abstractNumId w:val="3"/>
  </w:num>
  <w:num w:numId="6" w16cid:durableId="1809858671">
    <w:abstractNumId w:val="5"/>
  </w:num>
  <w:num w:numId="7" w16cid:durableId="276445916">
    <w:abstractNumId w:val="4"/>
  </w:num>
  <w:num w:numId="8" w16cid:durableId="1539321818">
    <w:abstractNumId w:val="9"/>
  </w:num>
  <w:num w:numId="9" w16cid:durableId="84694629">
    <w:abstractNumId w:val="7"/>
  </w:num>
  <w:num w:numId="10" w16cid:durableId="1791047374">
    <w:abstractNumId w:val="2"/>
  </w:num>
  <w:num w:numId="11" w16cid:durableId="133341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93241"/>
    <w:rsid w:val="000D568C"/>
    <w:rsid w:val="0012660A"/>
    <w:rsid w:val="002039DD"/>
    <w:rsid w:val="002041E8"/>
    <w:rsid w:val="002749BB"/>
    <w:rsid w:val="002910FC"/>
    <w:rsid w:val="002C68CA"/>
    <w:rsid w:val="00316205"/>
    <w:rsid w:val="00484B22"/>
    <w:rsid w:val="005527F4"/>
    <w:rsid w:val="0059129E"/>
    <w:rsid w:val="006661F6"/>
    <w:rsid w:val="006A1312"/>
    <w:rsid w:val="00796F75"/>
    <w:rsid w:val="00880418"/>
    <w:rsid w:val="00890C7B"/>
    <w:rsid w:val="00894481"/>
    <w:rsid w:val="009371DA"/>
    <w:rsid w:val="009558E4"/>
    <w:rsid w:val="00956FEA"/>
    <w:rsid w:val="009B2184"/>
    <w:rsid w:val="009E4A5F"/>
    <w:rsid w:val="00A6589E"/>
    <w:rsid w:val="00AA244B"/>
    <w:rsid w:val="00C33227"/>
    <w:rsid w:val="00C57522"/>
    <w:rsid w:val="00CE05A9"/>
    <w:rsid w:val="00DF62F4"/>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6661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120612586">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 w:id="1974863669">
      <w:bodyDiv w:val="1"/>
      <w:marLeft w:val="0"/>
      <w:marRight w:val="0"/>
      <w:marTop w:val="0"/>
      <w:marBottom w:val="0"/>
      <w:divBdr>
        <w:top w:val="none" w:sz="0" w:space="0" w:color="auto"/>
        <w:left w:val="none" w:sz="0" w:space="0" w:color="auto"/>
        <w:bottom w:val="none" w:sz="0" w:space="0" w:color="auto"/>
        <w:right w:val="none" w:sz="0" w:space="0" w:color="auto"/>
      </w:divBdr>
    </w:div>
    <w:div w:id="2110736382">
      <w:bodyDiv w:val="1"/>
      <w:marLeft w:val="0"/>
      <w:marRight w:val="0"/>
      <w:marTop w:val="0"/>
      <w:marBottom w:val="0"/>
      <w:divBdr>
        <w:top w:val="none" w:sz="0" w:space="0" w:color="auto"/>
        <w:left w:val="none" w:sz="0" w:space="0" w:color="auto"/>
        <w:bottom w:val="none" w:sz="0" w:space="0" w:color="auto"/>
        <w:right w:val="none" w:sz="0" w:space="0" w:color="auto"/>
      </w:divBdr>
      <w:divsChild>
        <w:div w:id="115947474">
          <w:marLeft w:val="360"/>
          <w:marRight w:val="0"/>
          <w:marTop w:val="200"/>
          <w:marBottom w:val="0"/>
          <w:divBdr>
            <w:top w:val="none" w:sz="0" w:space="0" w:color="auto"/>
            <w:left w:val="none" w:sz="0" w:space="0" w:color="auto"/>
            <w:bottom w:val="none" w:sz="0" w:space="0" w:color="auto"/>
            <w:right w:val="none" w:sz="0" w:space="0" w:color="auto"/>
          </w:divBdr>
        </w:div>
        <w:div w:id="887570123">
          <w:marLeft w:val="360"/>
          <w:marRight w:val="0"/>
          <w:marTop w:val="200"/>
          <w:marBottom w:val="0"/>
          <w:divBdr>
            <w:top w:val="none" w:sz="0" w:space="0" w:color="auto"/>
            <w:left w:val="none" w:sz="0" w:space="0" w:color="auto"/>
            <w:bottom w:val="none" w:sz="0" w:space="0" w:color="auto"/>
            <w:right w:val="none" w:sz="0" w:space="0" w:color="auto"/>
          </w:divBdr>
        </w:div>
        <w:div w:id="17232840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initiative/global-education/career-and-technic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gitalpromise.org/initiative/global-education/cte-standards-crosswalked-to-global-competence/" TargetMode="External"/><Relationship Id="rId5" Type="http://schemas.openxmlformats.org/officeDocument/2006/relationships/webSettings" Target="webSettings.xml"/><Relationship Id="rId10" Type="http://schemas.openxmlformats.org/officeDocument/2006/relationships/hyperlink" Target="https://digitalpromise.org/initiative/global-education/cte-standards-crosswalked-to-global-competence/" TargetMode="External"/><Relationship Id="rId4" Type="http://schemas.openxmlformats.org/officeDocument/2006/relationships/settings" Target="settings.xml"/><Relationship Id="rId9" Type="http://schemas.openxmlformats.org/officeDocument/2006/relationships/hyperlink" Target="https://digitalpromise.org/initiative/global-education/background-information-on-global-compet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CBAC3-A402-5241-827B-D19EC06B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3</cp:revision>
  <cp:lastPrinted>2021-06-26T00:03:00Z</cp:lastPrinted>
  <dcterms:created xsi:type="dcterms:W3CDTF">2022-06-12T21:50:00Z</dcterms:created>
  <dcterms:modified xsi:type="dcterms:W3CDTF">2023-01-10T21:47:00Z</dcterms:modified>
</cp:coreProperties>
</file>